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2131"/>
        <w:tblW w:w="5000" w:type="pct"/>
        <w:tblBorders>
          <w:top w:val="single" w:sz="12" w:space="0" w:color="EFCE0C" w:themeColor="background2"/>
          <w:left w:val="single" w:sz="12" w:space="0" w:color="EFCE0C" w:themeColor="background2"/>
          <w:bottom w:val="single" w:sz="12" w:space="0" w:color="EFCE0C" w:themeColor="background2"/>
          <w:right w:val="single" w:sz="12" w:space="0" w:color="EFCE0C" w:themeColor="background2"/>
          <w:insideH w:val="single" w:sz="12" w:space="0" w:color="EFCE0C" w:themeColor="background2"/>
          <w:insideV w:val="single" w:sz="12" w:space="0" w:color="EFCE0C" w:themeColor="background2"/>
        </w:tblBorders>
        <w:tblLook w:val="04A0" w:firstRow="1" w:lastRow="0" w:firstColumn="1" w:lastColumn="0" w:noHBand="0" w:noVBand="1"/>
      </w:tblPr>
      <w:tblGrid>
        <w:gridCol w:w="9659"/>
      </w:tblGrid>
      <w:tr w:rsidR="00060CFD" w:rsidRPr="00BC4622" w14:paraId="2F613C87" w14:textId="77777777" w:rsidTr="00060CFD">
        <w:trPr>
          <w:trHeight w:val="679"/>
        </w:trPr>
        <w:tc>
          <w:tcPr>
            <w:tcW w:w="5000" w:type="pct"/>
            <w:tcBorders>
              <w:bottom w:val="single" w:sz="12" w:space="0" w:color="EFCE0C" w:themeColor="background2"/>
            </w:tcBorders>
            <w:vAlign w:val="center"/>
          </w:tcPr>
          <w:sdt>
            <w:sdtPr>
              <w:rPr>
                <w:rStyle w:val="ECF-Heading1Char"/>
                <w:b/>
                <w:sz w:val="34"/>
                <w:szCs w:val="34"/>
              </w:rPr>
              <w:alias w:val="Title"/>
              <w:tag w:val=""/>
              <w:id w:val="-1001586823"/>
              <w:dataBinding w:prefixMappings="xmlns:ns0='http://purl.org/dc/elements/1.1/' xmlns:ns1='http://schemas.openxmlformats.org/package/2006/metadata/core-properties' " w:xpath="/ns1:coreProperties[1]/ns0:title[1]" w:storeItemID="{6C3C8BC8-F283-45AE-878A-BAB7291924A1}"/>
              <w:text/>
            </w:sdtPr>
            <w:sdtEndPr>
              <w:rPr>
                <w:rStyle w:val="ECF-Heading1Char"/>
              </w:rPr>
            </w:sdtEndPr>
            <w:sdtContent>
              <w:p w14:paraId="5A19EB35" w14:textId="0CF06ADA" w:rsidR="00060CFD" w:rsidRPr="006C2E44" w:rsidRDefault="008E4A26" w:rsidP="00060CFD">
                <w:pPr>
                  <w:pStyle w:val="ECFboldtext"/>
                  <w:rPr>
                    <w:rFonts w:ascii="Futura Lt BT" w:hAnsi="Futura Lt BT"/>
                    <w:color w:val="auto"/>
                    <w:sz w:val="22"/>
                    <w:szCs w:val="22"/>
                  </w:rPr>
                </w:pPr>
                <w:r w:rsidRPr="008E4A26">
                  <w:rPr>
                    <w:rStyle w:val="ECF-Heading1Char"/>
                    <w:b/>
                    <w:sz w:val="34"/>
                    <w:szCs w:val="34"/>
                  </w:rPr>
                  <w:t>Introducing</w:t>
                </w:r>
                <w:r w:rsidR="00060CFD" w:rsidRPr="008E4A26">
                  <w:rPr>
                    <w:rStyle w:val="ECF-Heading1Char"/>
                    <w:b/>
                    <w:sz w:val="34"/>
                    <w:szCs w:val="34"/>
                  </w:rPr>
                  <w:t xml:space="preserve"> Cycling in</w:t>
                </w:r>
                <w:r w:rsidRPr="008E4A26">
                  <w:rPr>
                    <w:rStyle w:val="ECF-Heading1Char"/>
                    <w:b/>
                    <w:sz w:val="34"/>
                    <w:szCs w:val="34"/>
                  </w:rPr>
                  <w:t>to</w:t>
                </w:r>
                <w:r w:rsidR="00060CFD" w:rsidRPr="008E4A26">
                  <w:rPr>
                    <w:rStyle w:val="ECF-Heading1Char"/>
                    <w:b/>
                    <w:sz w:val="34"/>
                    <w:szCs w:val="34"/>
                  </w:rPr>
                  <w:t xml:space="preserve"> National Energy and Climate Plans</w:t>
                </w:r>
              </w:p>
            </w:sdtContent>
          </w:sdt>
        </w:tc>
      </w:tr>
      <w:tr w:rsidR="00060CFD" w:rsidRPr="00BC4622" w14:paraId="1CC412D3" w14:textId="77777777" w:rsidTr="00060CFD">
        <w:trPr>
          <w:trHeight w:val="360"/>
        </w:trPr>
        <w:tc>
          <w:tcPr>
            <w:tcW w:w="5000" w:type="pct"/>
            <w:tcBorders>
              <w:bottom w:val="nil"/>
            </w:tcBorders>
            <w:vAlign w:val="center"/>
          </w:tcPr>
          <w:p w14:paraId="405BCC94" w14:textId="77777777" w:rsidR="00060CFD" w:rsidRPr="003F6375" w:rsidRDefault="00060CFD" w:rsidP="00060CFD">
            <w:pPr>
              <w:pStyle w:val="ECFboldtext"/>
              <w:rPr>
                <w:rFonts w:ascii="Futura Lt BT" w:hAnsi="Futura Lt BT"/>
                <w:sz w:val="22"/>
              </w:rPr>
            </w:pPr>
            <w:r w:rsidRPr="003F6375">
              <w:rPr>
                <w:rFonts w:ascii="Futura Lt BT" w:hAnsi="Futura Lt BT"/>
                <w:sz w:val="22"/>
              </w:rPr>
              <w:t>European Cyclists’ Federation</w:t>
            </w:r>
          </w:p>
        </w:tc>
      </w:tr>
      <w:tr w:rsidR="00060CFD" w:rsidRPr="000F59BA" w14:paraId="54264910" w14:textId="77777777" w:rsidTr="00060CFD">
        <w:trPr>
          <w:trHeight w:val="360"/>
        </w:trPr>
        <w:tc>
          <w:tcPr>
            <w:tcW w:w="5000" w:type="pct"/>
            <w:tcBorders>
              <w:top w:val="nil"/>
              <w:bottom w:val="nil"/>
            </w:tcBorders>
            <w:vAlign w:val="center"/>
          </w:tcPr>
          <w:p w14:paraId="2912DFF3" w14:textId="77777777" w:rsidR="00060CFD" w:rsidRPr="003F6375" w:rsidRDefault="00874699" w:rsidP="00060CFD">
            <w:pPr>
              <w:pStyle w:val="ECFboldtext"/>
              <w:rPr>
                <w:rFonts w:asciiTheme="minorHAnsi" w:hAnsiTheme="minorHAnsi"/>
                <w:color w:val="85172C" w:themeColor="accent5" w:themeShade="BF"/>
                <w:sz w:val="22"/>
                <w:lang w:val="fr-FR"/>
              </w:rPr>
            </w:pPr>
            <w:sdt>
              <w:sdtPr>
                <w:rPr>
                  <w:rFonts w:asciiTheme="minorHAnsi" w:hAnsiTheme="minorHAnsi"/>
                  <w:color w:val="EFCE0C" w:themeColor="background2"/>
                  <w:sz w:val="22"/>
                  <w:lang w:val="fr-FR"/>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060CFD" w:rsidRPr="003F6375">
                  <w:rPr>
                    <w:rFonts w:asciiTheme="minorHAnsi" w:hAnsiTheme="minorHAnsi"/>
                    <w:color w:val="EFCE0C" w:themeColor="background2"/>
                    <w:sz w:val="22"/>
                    <w:lang w:val="fr-FR"/>
                  </w:rPr>
                  <w:t>James Armstrong | ECF</w:t>
                </w:r>
              </w:sdtContent>
            </w:sdt>
            <w:r w:rsidR="00060CFD" w:rsidRPr="003F6375">
              <w:rPr>
                <w:rFonts w:asciiTheme="minorHAnsi" w:hAnsiTheme="minorHAnsi"/>
                <w:color w:val="EFCE0C" w:themeColor="background2"/>
                <w:sz w:val="22"/>
                <w:lang w:val="fr-FR"/>
              </w:rPr>
              <w:t xml:space="preserve">, Policy </w:t>
            </w:r>
            <w:proofErr w:type="spellStart"/>
            <w:r w:rsidR="00060CFD" w:rsidRPr="003F6375">
              <w:rPr>
                <w:rFonts w:asciiTheme="minorHAnsi" w:hAnsiTheme="minorHAnsi"/>
                <w:color w:val="EFCE0C" w:themeColor="background2"/>
                <w:sz w:val="22"/>
                <w:lang w:val="fr-FR"/>
              </w:rPr>
              <w:t>Intern</w:t>
            </w:r>
            <w:proofErr w:type="spellEnd"/>
            <w:r w:rsidR="00060CFD" w:rsidRPr="003F6375">
              <w:rPr>
                <w:rFonts w:asciiTheme="minorHAnsi" w:hAnsiTheme="minorHAnsi"/>
                <w:color w:val="EFCE0C" w:themeColor="background2"/>
                <w:sz w:val="22"/>
                <w:lang w:val="fr-FR"/>
              </w:rPr>
              <w:t xml:space="preserve"> </w:t>
            </w:r>
            <w:hyperlink r:id="rId9" w:history="1">
              <w:r w:rsidR="00060CFD" w:rsidRPr="003F6375">
                <w:rPr>
                  <w:rStyle w:val="Hyperlink"/>
                  <w:rFonts w:asciiTheme="minorHAnsi" w:hAnsiTheme="minorHAnsi"/>
                  <w:b/>
                  <w:bCs/>
                  <w:sz w:val="22"/>
                  <w:szCs w:val="22"/>
                  <w:lang w:val="fr-FR"/>
                </w:rPr>
                <w:t>policy@ecf.com</w:t>
              </w:r>
            </w:hyperlink>
            <w:r w:rsidR="00060CFD" w:rsidRPr="003F6375">
              <w:rPr>
                <w:rFonts w:asciiTheme="minorHAnsi" w:hAnsiTheme="minorHAnsi"/>
                <w:color w:val="EFCE0C" w:themeColor="background2"/>
                <w:sz w:val="22"/>
                <w:lang w:val="fr-FR"/>
              </w:rPr>
              <w:t xml:space="preserve"> </w:t>
            </w:r>
          </w:p>
        </w:tc>
      </w:tr>
      <w:tr w:rsidR="00060CFD" w:rsidRPr="00BC4622" w14:paraId="02EC4A97" w14:textId="77777777" w:rsidTr="00060CFD">
        <w:trPr>
          <w:trHeight w:val="80"/>
        </w:trPr>
        <w:tc>
          <w:tcPr>
            <w:tcW w:w="5000" w:type="pct"/>
            <w:tcBorders>
              <w:top w:val="nil"/>
            </w:tcBorders>
            <w:vAlign w:val="center"/>
          </w:tcPr>
          <w:p w14:paraId="5BCDD835" w14:textId="77777777" w:rsidR="00060CFD" w:rsidRPr="00B905AA" w:rsidRDefault="00060CFD" w:rsidP="00060CFD">
            <w:pPr>
              <w:pStyle w:val="ECFboldtext"/>
              <w:rPr>
                <w:rFonts w:ascii="Futura Lt BT" w:hAnsi="Futura Lt BT"/>
                <w:color w:val="808080" w:themeColor="background1" w:themeShade="80"/>
                <w:spacing w:val="2"/>
                <w:position w:val="1"/>
                <w:sz w:val="16"/>
                <w:szCs w:val="20"/>
              </w:rPr>
            </w:pPr>
            <w:r>
              <w:rPr>
                <w:rFonts w:ascii="Futura Lt BT" w:hAnsi="Futura Lt BT"/>
                <w:color w:val="808080" w:themeColor="background1" w:themeShade="80"/>
                <w:spacing w:val="2"/>
                <w:position w:val="1"/>
                <w:sz w:val="16"/>
                <w:szCs w:val="20"/>
              </w:rPr>
              <w:t>05 December 2018</w:t>
            </w:r>
          </w:p>
        </w:tc>
      </w:tr>
      <w:tr w:rsidR="00060CFD" w:rsidRPr="00BC4622" w14:paraId="29474FCA" w14:textId="77777777" w:rsidTr="00060CFD">
        <w:trPr>
          <w:trHeight w:val="360"/>
        </w:trPr>
        <w:tc>
          <w:tcPr>
            <w:tcW w:w="5000" w:type="pct"/>
            <w:vAlign w:val="center"/>
          </w:tcPr>
          <w:p w14:paraId="3DF63475" w14:textId="77777777" w:rsidR="00060CFD" w:rsidRPr="003F6375" w:rsidRDefault="00060CFD" w:rsidP="00060CFD">
            <w:pPr>
              <w:pStyle w:val="ECFboldtext"/>
              <w:rPr>
                <w:rFonts w:ascii="Futura Lt BT" w:hAnsi="Futura Lt BT"/>
                <w:color w:val="808080" w:themeColor="background1" w:themeShade="80"/>
                <w:spacing w:val="2"/>
                <w:position w:val="1"/>
                <w:sz w:val="16"/>
                <w:szCs w:val="20"/>
              </w:rPr>
            </w:pPr>
            <w:r>
              <w:rPr>
                <w:noProof/>
                <w:lang w:val="en-GB" w:eastAsia="en-GB"/>
              </w:rPr>
              <w:drawing>
                <wp:inline distT="0" distB="0" distL="0" distR="0" wp14:anchorId="2FCCB65A" wp14:editId="5B7C567D">
                  <wp:extent cx="247650" cy="168268"/>
                  <wp:effectExtent l="0" t="0" r="0" b="0"/>
                  <wp:docPr id="6" name="Picture 6"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uropa.eu/about-eu/basic-information/symbols/images/flag_yellow_lo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74327" cy="186394"/>
                          </a:xfrm>
                          <a:prstGeom prst="rect">
                            <a:avLst/>
                          </a:prstGeom>
                          <a:noFill/>
                          <a:ln>
                            <a:noFill/>
                          </a:ln>
                        </pic:spPr>
                      </pic:pic>
                    </a:graphicData>
                  </a:graphic>
                </wp:inline>
              </w:drawing>
            </w:r>
            <w:r>
              <w:rPr>
                <w:rFonts w:ascii="Futura Lt BT" w:hAnsi="Futura Lt BT"/>
                <w:color w:val="808080" w:themeColor="background1" w:themeShade="80"/>
                <w:spacing w:val="2"/>
                <w:position w:val="1"/>
                <w:sz w:val="16"/>
                <w:szCs w:val="20"/>
              </w:rPr>
              <w:t xml:space="preserve">  ECF gratefully acknowledges financial support from the European Commission. </w:t>
            </w:r>
            <w:r w:rsidRPr="003F6375">
              <w:rPr>
                <w:rFonts w:ascii="Futura Lt BT" w:hAnsi="Futura Lt BT"/>
                <w:color w:val="808080" w:themeColor="background1" w:themeShade="80"/>
                <w:spacing w:val="2"/>
                <w:position w:val="1"/>
                <w:sz w:val="16"/>
                <w:szCs w:val="20"/>
              </w:rPr>
              <w:t>The information and views set out in this publication are those of the author(s) and do not necessarily reflect the official opinion of the European Union. Neither the European Union institutions and bodies nor any person acting on their behalf may be held responsible for the use which may be made of the information contained therein.</w:t>
            </w:r>
          </w:p>
        </w:tc>
      </w:tr>
    </w:tbl>
    <w:sdt>
      <w:sdtPr>
        <w:rPr>
          <w:rFonts w:ascii="Verdana" w:hAnsi="Verdana"/>
          <w:sz w:val="28"/>
          <w:u w:val="single"/>
        </w:rPr>
        <w:id w:val="-1939518652"/>
        <w:docPartObj>
          <w:docPartGallery w:val="Cover Pages"/>
          <w:docPartUnique/>
        </w:docPartObj>
      </w:sdtPr>
      <w:sdtEndPr>
        <w:rPr>
          <w:rFonts w:ascii="Futura Lt BT" w:hAnsi="Futura Lt BT"/>
          <w:color w:val="038E9A"/>
          <w:sz w:val="36"/>
          <w:u w:val="none"/>
        </w:rPr>
      </w:sdtEndPr>
      <w:sdtContent>
        <w:p w14:paraId="03598F3A" w14:textId="656BB887" w:rsidR="00AD5270" w:rsidRPr="00060CFD" w:rsidRDefault="00AD5270" w:rsidP="00AD5270">
          <w:pPr>
            <w:pStyle w:val="ECFboldtext"/>
            <w:rPr>
              <w:rFonts w:ascii="Verdana" w:hAnsi="Verdana"/>
              <w:sz w:val="28"/>
              <w:u w:val="single"/>
            </w:rPr>
          </w:pPr>
        </w:p>
        <w:p w14:paraId="4236E50F" w14:textId="092DEF96" w:rsidR="008E1036" w:rsidRPr="00AD5270" w:rsidRDefault="00977FDA" w:rsidP="00AD5270">
          <w:pPr>
            <w:pStyle w:val="ECFboldtext"/>
            <w:rPr>
              <w:rFonts w:ascii="Verdana" w:hAnsi="Verdana"/>
              <w:sz w:val="32"/>
              <w:u w:val="single"/>
            </w:rPr>
          </w:pPr>
          <w:r w:rsidRPr="00AD5270">
            <w:rPr>
              <w:sz w:val="28"/>
            </w:rPr>
            <w:t>National Energy and Climate Plans</w:t>
          </w:r>
        </w:p>
      </w:sdtContent>
    </w:sdt>
    <w:p w14:paraId="4EFE523B" w14:textId="77777777" w:rsidR="008E1036" w:rsidRPr="002760FA" w:rsidRDefault="008E1036" w:rsidP="008E1036">
      <w:pPr>
        <w:rPr>
          <w:rFonts w:ascii="Verdana" w:hAnsi="Verdana"/>
          <w:sz w:val="20"/>
          <w:szCs w:val="20"/>
        </w:rPr>
      </w:pPr>
    </w:p>
    <w:p w14:paraId="677C8DC6" w14:textId="46C24FE9" w:rsidR="00977FDA" w:rsidRDefault="00977FDA" w:rsidP="00977FDA">
      <w:pPr>
        <w:pStyle w:val="Paragraphtext"/>
      </w:pPr>
      <w:r w:rsidRPr="00977FDA">
        <w:t>National and Energy and Climate Plans (NECPs) are the EU’s chief method to meet its climate change goals. Simply put, the EU and member states have agreed that all member states should, every 10 years, develop a 10 year plan setting out how they will meet their climate change commitments (2030 Climate and Energy Targets, and the Paris Agreement). The first national plans should cover the period from 2021 to 2030, including a perspective until 2050, to ensure long term consistency in policy objectives.</w:t>
      </w:r>
      <w:r w:rsidR="00576D83">
        <w:t xml:space="preserve"> </w:t>
      </w:r>
      <w:r w:rsidR="00576D83" w:rsidRPr="00FF652E">
        <w:t>The first drafts of which are due 31 December 2018, and must be confirmed by the commission by the same date a year later.</w:t>
      </w:r>
      <w:r w:rsidRPr="00977FDA">
        <w:t xml:space="preserve"> It is clear to ECF that cycling could play a prominent role in member states plans, given the negative track record of the transport sector since 1990. The need to develop an NECP is therefore a potential route to more spending on pro-cycling projects by EU member states, as well as a push towards other national legislative initiatives promoting cycling interests and modal share. </w:t>
      </w:r>
    </w:p>
    <w:p w14:paraId="779B6791" w14:textId="77777777" w:rsidR="00977FDA" w:rsidRPr="00977FDA" w:rsidRDefault="00977FDA" w:rsidP="00977FDA">
      <w:pPr>
        <w:pStyle w:val="Paragraphtext"/>
      </w:pPr>
    </w:p>
    <w:p w14:paraId="2D2921E4" w14:textId="6718B220" w:rsidR="00060CFD" w:rsidRDefault="00977FDA" w:rsidP="00060CFD">
      <w:pPr>
        <w:pStyle w:val="Paragraphtext"/>
      </w:pPr>
      <w:r w:rsidRPr="00977FDA">
        <w:t>We have seen repeated calls for the transport sector to make more of a contribution towards meeting GHG emissions targets, with both the Graz Declaration and the European Commission Long Term Climate Strategy seeing the transport sector as key to emissions reductions. This is unsurprising given the highly disappointing news that the GHG emissions transport sector have risen 7.44% since 2013, which is totally incompatible with global efforts to limit global warming to 1.5°C, or even to reach 2°C.</w:t>
      </w:r>
      <w:r w:rsidR="003F6375">
        <w:t xml:space="preserve"> National level data </w:t>
      </w:r>
      <w:r w:rsidR="00060CFD">
        <w:t xml:space="preserve">for the transport sector </w:t>
      </w:r>
      <w:r w:rsidR="003F6375">
        <w:t xml:space="preserve">can be found </w:t>
      </w:r>
      <w:hyperlink r:id="rId11" w:history="1">
        <w:r w:rsidR="00060CFD" w:rsidRPr="00060CFD">
          <w:rPr>
            <w:rStyle w:val="Hyperlink"/>
            <w:rFonts w:asciiTheme="minorHAnsi" w:hAnsiTheme="minorHAnsi"/>
            <w:sz w:val="24"/>
            <w:lang w:val="en-US"/>
          </w:rPr>
          <w:t>here</w:t>
        </w:r>
      </w:hyperlink>
      <w:r w:rsidR="008B2BB2">
        <w:t>.</w:t>
      </w:r>
    </w:p>
    <w:p w14:paraId="2461664C" w14:textId="76552A42" w:rsidR="00B65DF6" w:rsidRDefault="00B65DF6" w:rsidP="00060CFD">
      <w:pPr>
        <w:pStyle w:val="Paragraphtext"/>
        <w:sectPr w:rsidR="00B65DF6" w:rsidSect="00060CFD">
          <w:headerReference w:type="default" r:id="rId12"/>
          <w:footerReference w:type="default" r:id="rId13"/>
          <w:headerReference w:type="first" r:id="rId14"/>
          <w:footerReference w:type="first" r:id="rId15"/>
          <w:type w:val="continuous"/>
          <w:pgSz w:w="11906" w:h="16838" w:code="9"/>
          <w:pgMar w:top="1701" w:right="1196" w:bottom="1701" w:left="1021" w:header="397" w:footer="737" w:gutter="0"/>
          <w:cols w:space="708"/>
          <w:titlePg/>
          <w:docGrid w:linePitch="360"/>
        </w:sectPr>
      </w:pPr>
    </w:p>
    <w:p w14:paraId="753D46C9" w14:textId="330368F5" w:rsidR="00576D83" w:rsidRDefault="00576D83" w:rsidP="00060CFD">
      <w:pPr>
        <w:pStyle w:val="Paragraphtext"/>
      </w:pPr>
    </w:p>
    <w:p w14:paraId="4AD1904B" w14:textId="24DE559F" w:rsidR="00576D83" w:rsidRDefault="00B65DF6" w:rsidP="00060CFD">
      <w:pPr>
        <w:pStyle w:val="Paragraphtext"/>
      </w:pPr>
      <w:r>
        <w:rPr>
          <w:noProof/>
          <w:lang w:val="en-GB" w:eastAsia="en-GB"/>
        </w:rPr>
        <w:drawing>
          <wp:anchor distT="0" distB="0" distL="114300" distR="114300" simplePos="0" relativeHeight="251658240" behindDoc="0" locked="0" layoutInCell="1" allowOverlap="1" wp14:anchorId="659D1FF5" wp14:editId="6A9C466D">
            <wp:simplePos x="0" y="0"/>
            <wp:positionH relativeFrom="column">
              <wp:posOffset>216370</wp:posOffset>
            </wp:positionH>
            <wp:positionV relativeFrom="paragraph">
              <wp:posOffset>26228</wp:posOffset>
            </wp:positionV>
            <wp:extent cx="3257550" cy="3045460"/>
            <wp:effectExtent l="0" t="0" r="0" b="2540"/>
            <wp:wrapNone/>
            <wp:docPr id="3" name="Picture 3" descr="Z:\LOBB_Lobbying\09 - Policy interns\James Armstrong\National Energy and Climate Plans\GHG emissions by sector over 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OBB_Lobbying\09 - Policy interns\James Armstrong\National Energy and Climate Plans\GHG emissions by sector over time.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0912"/>
                    <a:stretch/>
                  </pic:blipFill>
                  <pic:spPr bwMode="auto">
                    <a:xfrm>
                      <a:off x="0" y="0"/>
                      <a:ext cx="3257550" cy="304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997013" w14:textId="77777777" w:rsidR="00576D83" w:rsidRDefault="00576D83" w:rsidP="00060CFD">
      <w:pPr>
        <w:pStyle w:val="Paragraphtext"/>
      </w:pPr>
    </w:p>
    <w:p w14:paraId="6D6D7924" w14:textId="77777777" w:rsidR="00576D83" w:rsidRDefault="00576D83" w:rsidP="00060CFD">
      <w:pPr>
        <w:pStyle w:val="Paragraphtext"/>
      </w:pPr>
    </w:p>
    <w:p w14:paraId="1BCD5E08" w14:textId="56AA2F12" w:rsidR="00576D83" w:rsidRDefault="00576D83" w:rsidP="00060CFD">
      <w:pPr>
        <w:pStyle w:val="Paragraphtext"/>
      </w:pPr>
    </w:p>
    <w:p w14:paraId="309D0770" w14:textId="77777777" w:rsidR="00576D83" w:rsidRDefault="00576D83" w:rsidP="00060CFD">
      <w:pPr>
        <w:pStyle w:val="Paragraphtext"/>
      </w:pPr>
    </w:p>
    <w:p w14:paraId="133325D0" w14:textId="77777777" w:rsidR="00576D83" w:rsidRDefault="00576D83" w:rsidP="00060CFD">
      <w:pPr>
        <w:pStyle w:val="Paragraphtext"/>
      </w:pPr>
    </w:p>
    <w:p w14:paraId="2C3E5309" w14:textId="51363CD2" w:rsidR="00576D83" w:rsidRDefault="00576D83" w:rsidP="00060CFD">
      <w:pPr>
        <w:pStyle w:val="Paragraphtext"/>
      </w:pPr>
    </w:p>
    <w:p w14:paraId="6E045C21" w14:textId="4ED2D56D" w:rsidR="00576D83" w:rsidRDefault="00576D83" w:rsidP="00060CFD">
      <w:pPr>
        <w:pStyle w:val="Paragraphtext"/>
      </w:pPr>
    </w:p>
    <w:p w14:paraId="53A9C67D" w14:textId="77777777" w:rsidR="00B65DF6" w:rsidRDefault="00B65DF6" w:rsidP="00B65DF6">
      <w:pPr>
        <w:pStyle w:val="Paragraphtext"/>
        <w:rPr>
          <w:sz w:val="20"/>
        </w:rPr>
      </w:pPr>
    </w:p>
    <w:p w14:paraId="333095AF" w14:textId="77777777" w:rsidR="00B65DF6" w:rsidRDefault="00B65DF6" w:rsidP="00B65DF6">
      <w:pPr>
        <w:pStyle w:val="Paragraphtext"/>
        <w:rPr>
          <w:sz w:val="20"/>
        </w:rPr>
      </w:pPr>
    </w:p>
    <w:p w14:paraId="69EB201B" w14:textId="77777777" w:rsidR="00B65DF6" w:rsidRDefault="00B65DF6" w:rsidP="00B65DF6">
      <w:pPr>
        <w:pStyle w:val="Paragraphtext"/>
        <w:rPr>
          <w:sz w:val="20"/>
        </w:rPr>
      </w:pPr>
    </w:p>
    <w:p w14:paraId="7C3B9B39" w14:textId="77777777" w:rsidR="00B65DF6" w:rsidRDefault="00B65DF6" w:rsidP="00B65DF6">
      <w:pPr>
        <w:pStyle w:val="Paragraphtext"/>
        <w:rPr>
          <w:sz w:val="20"/>
        </w:rPr>
      </w:pPr>
    </w:p>
    <w:p w14:paraId="15BEDDBC" w14:textId="77777777" w:rsidR="00B65DF6" w:rsidRDefault="00B65DF6" w:rsidP="00B65DF6">
      <w:pPr>
        <w:pStyle w:val="Paragraphtext"/>
        <w:rPr>
          <w:sz w:val="20"/>
        </w:rPr>
      </w:pPr>
    </w:p>
    <w:p w14:paraId="564D2ADF" w14:textId="77777777" w:rsidR="00B65DF6" w:rsidRDefault="00B65DF6" w:rsidP="00B65DF6">
      <w:pPr>
        <w:pStyle w:val="Paragraphtext"/>
        <w:rPr>
          <w:sz w:val="20"/>
        </w:rPr>
      </w:pPr>
    </w:p>
    <w:p w14:paraId="697281FA" w14:textId="77777777" w:rsidR="00B65DF6" w:rsidRDefault="00B65DF6" w:rsidP="00B65DF6">
      <w:pPr>
        <w:pStyle w:val="Paragraphtext"/>
        <w:rPr>
          <w:sz w:val="20"/>
        </w:rPr>
      </w:pPr>
    </w:p>
    <w:p w14:paraId="469E20B0" w14:textId="77777777" w:rsidR="00B65DF6" w:rsidRDefault="00B65DF6" w:rsidP="00B65DF6">
      <w:pPr>
        <w:pStyle w:val="Paragraphtext"/>
        <w:ind w:left="720"/>
        <w:rPr>
          <w:sz w:val="20"/>
        </w:rPr>
      </w:pPr>
    </w:p>
    <w:p w14:paraId="118F1C8C" w14:textId="1CE98B9F" w:rsidR="00B65DF6" w:rsidRPr="006A6C6B" w:rsidRDefault="00B65DF6" w:rsidP="00B65DF6">
      <w:pPr>
        <w:pStyle w:val="Paragraphtext"/>
        <w:ind w:left="720"/>
        <w:rPr>
          <w:sz w:val="20"/>
        </w:rPr>
      </w:pPr>
      <w:r w:rsidRPr="006A6C6B">
        <w:rPr>
          <w:sz w:val="20"/>
        </w:rPr>
        <w:t>Data source: 1990- 2015 Member state Reporting to the UNFCC;</w:t>
      </w:r>
      <w:bookmarkStart w:id="0" w:name="_GoBack"/>
      <w:bookmarkEnd w:id="0"/>
      <w:r w:rsidRPr="006A6C6B">
        <w:rPr>
          <w:sz w:val="20"/>
        </w:rPr>
        <w:t xml:space="preserve"> 2016 EEA Approximated EU Greenhouse gas inventory.</w:t>
      </w:r>
    </w:p>
    <w:p w14:paraId="384F525A" w14:textId="77777777" w:rsidR="00576D83" w:rsidRDefault="00576D83" w:rsidP="00060CFD">
      <w:pPr>
        <w:pStyle w:val="Paragraphtext"/>
      </w:pPr>
    </w:p>
    <w:p w14:paraId="561723FB" w14:textId="396F401A" w:rsidR="00576D83" w:rsidRDefault="00576D83" w:rsidP="00060CFD">
      <w:pPr>
        <w:pStyle w:val="Paragraphtext"/>
      </w:pPr>
    </w:p>
    <w:p w14:paraId="50CC337E" w14:textId="77777777" w:rsidR="00576D83" w:rsidRDefault="00576D83" w:rsidP="00060CFD">
      <w:pPr>
        <w:pStyle w:val="Paragraphtext"/>
      </w:pPr>
    </w:p>
    <w:p w14:paraId="44E04469" w14:textId="77777777" w:rsidR="00576D83" w:rsidRDefault="00576D83" w:rsidP="00060CFD">
      <w:pPr>
        <w:pStyle w:val="Paragraphtext"/>
      </w:pPr>
    </w:p>
    <w:p w14:paraId="6AAD4F9A" w14:textId="77777777" w:rsidR="00576D83" w:rsidRDefault="00576D83" w:rsidP="00060CFD">
      <w:pPr>
        <w:pStyle w:val="Paragraphtext"/>
      </w:pPr>
    </w:p>
    <w:p w14:paraId="15D3B086" w14:textId="77777777" w:rsidR="00576D83" w:rsidRDefault="00576D83" w:rsidP="00060CFD">
      <w:pPr>
        <w:pStyle w:val="Paragraphtext"/>
      </w:pPr>
    </w:p>
    <w:p w14:paraId="1BD02E56" w14:textId="77777777" w:rsidR="00B65DF6" w:rsidRDefault="00B65DF6" w:rsidP="006A6C6B">
      <w:pPr>
        <w:pStyle w:val="Paragraphtext"/>
        <w:rPr>
          <w:sz w:val="20"/>
        </w:rPr>
        <w:sectPr w:rsidR="00B65DF6" w:rsidSect="00B65DF6">
          <w:type w:val="continuous"/>
          <w:pgSz w:w="11906" w:h="16838" w:code="9"/>
          <w:pgMar w:top="1701" w:right="1196" w:bottom="1701" w:left="1021" w:header="397" w:footer="737" w:gutter="0"/>
          <w:cols w:num="2" w:space="708"/>
          <w:titlePg/>
          <w:docGrid w:linePitch="360"/>
        </w:sectPr>
      </w:pPr>
    </w:p>
    <w:p w14:paraId="2EFBDA8C" w14:textId="35D6EEAC" w:rsidR="008B2BB2" w:rsidRPr="006A6C6B" w:rsidRDefault="006A6C6B" w:rsidP="006A6C6B">
      <w:pPr>
        <w:pStyle w:val="Paragraphtext"/>
        <w:rPr>
          <w:sz w:val="20"/>
        </w:rPr>
      </w:pPr>
      <w:r>
        <w:rPr>
          <w:sz w:val="20"/>
        </w:rPr>
        <w:br/>
      </w:r>
    </w:p>
    <w:p w14:paraId="79CCDBA8" w14:textId="77777777" w:rsidR="00B65DF6" w:rsidRDefault="00B65DF6" w:rsidP="00977FDA">
      <w:pPr>
        <w:pStyle w:val="Paragraphtext"/>
      </w:pPr>
    </w:p>
    <w:p w14:paraId="7E107FD0" w14:textId="035822C4" w:rsidR="00977FDA" w:rsidRDefault="00977FDA" w:rsidP="00977FDA">
      <w:pPr>
        <w:pStyle w:val="Paragraphtext"/>
      </w:pPr>
      <w:r w:rsidRPr="00977FDA">
        <w:lastRenderedPageBreak/>
        <w:t xml:space="preserve">Given all these factors, </w:t>
      </w:r>
      <w:r w:rsidRPr="008B2BB2">
        <w:rPr>
          <w:b/>
        </w:rPr>
        <w:t>we think this is an excellent opportunity for you to put pressure on your national governments to act on cycling issues</w:t>
      </w:r>
      <w:r w:rsidR="00B65DF6" w:rsidRPr="00FF652E">
        <w:t>, as</w:t>
      </w:r>
      <w:r w:rsidR="00576D83" w:rsidRPr="00FF652E">
        <w:t xml:space="preserve"> </w:t>
      </w:r>
      <w:r w:rsidR="00B65DF6" w:rsidRPr="00FF652E">
        <w:t>f</w:t>
      </w:r>
      <w:r w:rsidR="00576D83" w:rsidRPr="00FF652E">
        <w:t xml:space="preserve">rom December we have exactly one year to </w:t>
      </w:r>
      <w:r w:rsidR="00B65DF6" w:rsidRPr="00FF652E">
        <w:t>act.</w:t>
      </w:r>
      <w:r w:rsidRPr="00977FDA">
        <w:t xml:space="preserve"> Particularly it is an opportunity to show policymakers the impact ambitious cycling modal shift targets could make to their obligations under NECPs. However the importance of the parts of the legislation that regard data reporting and predictions on emission levels should not be understated. If cycling is accurately represented in member states’ emission models, it will mean it will be easier in the future to make pro-cycling arguments to policymakers, as they will have their own data that supports what we are saying.</w:t>
      </w:r>
    </w:p>
    <w:p w14:paraId="45122129" w14:textId="77777777" w:rsidR="00C21AF3" w:rsidRDefault="00C21AF3" w:rsidP="00E91667">
      <w:pPr>
        <w:pStyle w:val="ECFboldtext"/>
        <w:rPr>
          <w:rFonts w:asciiTheme="minorHAnsi" w:hAnsiTheme="minorHAnsi" w:cs="Times New Roman"/>
          <w:color w:val="055068" w:themeColor="text1"/>
          <w:szCs w:val="18"/>
        </w:rPr>
      </w:pPr>
    </w:p>
    <w:p w14:paraId="5A045069" w14:textId="77777777" w:rsidR="00977FDA" w:rsidRDefault="00977FDA" w:rsidP="00E91667">
      <w:pPr>
        <w:pStyle w:val="ECFboldtext"/>
      </w:pPr>
      <w:r w:rsidRPr="00977FDA">
        <w:t>Timeline</w:t>
      </w:r>
    </w:p>
    <w:p w14:paraId="0BF332EA" w14:textId="77777777" w:rsidR="00E91667" w:rsidRPr="00977FDA" w:rsidRDefault="00E91667" w:rsidP="00977FDA">
      <w:pPr>
        <w:rPr>
          <w:rFonts w:ascii="Verdana" w:hAnsi="Verdana"/>
          <w:sz w:val="20"/>
          <w:szCs w:val="20"/>
        </w:rPr>
      </w:pPr>
    </w:p>
    <w:p w14:paraId="728DC41A" w14:textId="77777777" w:rsidR="00977FDA" w:rsidRDefault="00977FDA" w:rsidP="00E91667">
      <w:pPr>
        <w:pStyle w:val="Paragraphtext"/>
      </w:pPr>
      <w:r w:rsidRPr="00E91667">
        <w:t>The timeline of developing and implementing NECPs is as follows:</w:t>
      </w:r>
    </w:p>
    <w:p w14:paraId="21C7D43A" w14:textId="77777777" w:rsidR="00E91667" w:rsidRPr="00E91667" w:rsidRDefault="00E91667" w:rsidP="00E91667">
      <w:pPr>
        <w:pStyle w:val="Paragraphtext"/>
      </w:pPr>
    </w:p>
    <w:p w14:paraId="7634856D" w14:textId="502701DE" w:rsidR="00E91667" w:rsidRPr="00977FDA" w:rsidRDefault="00977FDA" w:rsidP="005B6706">
      <w:pPr>
        <w:pStyle w:val="Paragraphtext"/>
        <w:numPr>
          <w:ilvl w:val="0"/>
          <w:numId w:val="11"/>
        </w:numPr>
        <w:spacing w:line="300" w:lineRule="auto"/>
      </w:pPr>
      <w:r w:rsidRPr="00977FDA">
        <w:t xml:space="preserve">By </w:t>
      </w:r>
      <w:r w:rsidRPr="00E91667">
        <w:t>31 December 2018</w:t>
      </w:r>
      <w:r w:rsidRPr="00977FDA">
        <w:t>: Member States prepare and submit to the Commission a draft of the NECP</w:t>
      </w:r>
      <w:r w:rsidR="009B4EF7">
        <w:t>.</w:t>
      </w:r>
    </w:p>
    <w:p w14:paraId="2026B4EA" w14:textId="4CBCBB90" w:rsidR="00E91667" w:rsidRPr="00977FDA" w:rsidRDefault="00977FDA" w:rsidP="005B6706">
      <w:pPr>
        <w:pStyle w:val="Paragraphtext"/>
        <w:numPr>
          <w:ilvl w:val="0"/>
          <w:numId w:val="11"/>
        </w:numPr>
        <w:spacing w:line="300" w:lineRule="auto"/>
      </w:pPr>
      <w:r w:rsidRPr="00977FDA">
        <w:t>By 30 June 2019: The Commission may issue recommendations on the draft plans</w:t>
      </w:r>
      <w:r w:rsidR="009B4EF7">
        <w:t>.</w:t>
      </w:r>
    </w:p>
    <w:p w14:paraId="74ECFF48" w14:textId="6420A44E" w:rsidR="00E91667" w:rsidRPr="00977FDA" w:rsidRDefault="00977FDA" w:rsidP="005B6706">
      <w:pPr>
        <w:pStyle w:val="Paragraphtext"/>
        <w:numPr>
          <w:ilvl w:val="0"/>
          <w:numId w:val="11"/>
        </w:numPr>
        <w:spacing w:line="300" w:lineRule="auto"/>
      </w:pPr>
      <w:r w:rsidRPr="00977FDA">
        <w:t>By 31 December 2019: Member States notify to the Commission their final NECP covering the 2021-2030 period, as well as a summary of the public’s views</w:t>
      </w:r>
      <w:r w:rsidR="009B4EF7">
        <w:t>.</w:t>
      </w:r>
    </w:p>
    <w:p w14:paraId="3BC04221" w14:textId="534C39BF" w:rsidR="00E91667" w:rsidRPr="00977FDA" w:rsidRDefault="00977FDA" w:rsidP="005B6706">
      <w:pPr>
        <w:pStyle w:val="Paragraphtext"/>
        <w:numPr>
          <w:ilvl w:val="0"/>
          <w:numId w:val="11"/>
        </w:numPr>
        <w:spacing w:line="300" w:lineRule="auto"/>
      </w:pPr>
      <w:r w:rsidRPr="00977FDA">
        <w:t>By 15 March 2023: (+ every 2 years thereafter) Member States shall report to the Commission on the status of implementation of their NECP (Progress Report), including progress on reaching the targets, updates on policies and measures, and projections</w:t>
      </w:r>
      <w:r w:rsidR="009B4EF7">
        <w:t>.</w:t>
      </w:r>
    </w:p>
    <w:p w14:paraId="00D7DC38" w14:textId="2E50466E" w:rsidR="00E91667" w:rsidRPr="00977FDA" w:rsidRDefault="00977FDA" w:rsidP="005B6706">
      <w:pPr>
        <w:pStyle w:val="Paragraphtext"/>
        <w:numPr>
          <w:ilvl w:val="0"/>
          <w:numId w:val="11"/>
        </w:numPr>
        <w:spacing w:line="300" w:lineRule="auto"/>
      </w:pPr>
      <w:r w:rsidRPr="00977FDA">
        <w:t>By 30 June 2023: Member States submit a draft update of the NECP to the Commission or justify that the current plan remains valid</w:t>
      </w:r>
      <w:r w:rsidR="009B4EF7">
        <w:t>.</w:t>
      </w:r>
    </w:p>
    <w:p w14:paraId="2EB66D3F" w14:textId="58AAAEF8" w:rsidR="00E91667" w:rsidRPr="00E91667" w:rsidRDefault="00977FDA" w:rsidP="005B6706">
      <w:pPr>
        <w:pStyle w:val="Paragraphtext"/>
        <w:numPr>
          <w:ilvl w:val="0"/>
          <w:numId w:val="11"/>
        </w:numPr>
        <w:spacing w:line="300" w:lineRule="auto"/>
      </w:pPr>
      <w:r w:rsidRPr="00977FDA">
        <w:t>By 30 June 2024: Member States shall notify to the Commission a (final) update of the NECPs unless they have justified that the current plan remains valid</w:t>
      </w:r>
      <w:r w:rsidR="009B4EF7">
        <w:t>.</w:t>
      </w:r>
    </w:p>
    <w:p w14:paraId="6F26C077" w14:textId="77777777" w:rsidR="006B2457" w:rsidRDefault="006B2457" w:rsidP="00E91667">
      <w:pPr>
        <w:pStyle w:val="ECFboldtext"/>
      </w:pPr>
    </w:p>
    <w:p w14:paraId="77AC8281" w14:textId="3EB6389A" w:rsidR="00977FDA" w:rsidRPr="00977FDA" w:rsidRDefault="00977FDA" w:rsidP="00E91667">
      <w:pPr>
        <w:pStyle w:val="ECFboldtext"/>
      </w:pPr>
      <w:r w:rsidRPr="00977FDA">
        <w:t>Objectives</w:t>
      </w:r>
      <w:r w:rsidR="00E91667">
        <w:br/>
      </w:r>
    </w:p>
    <w:p w14:paraId="301781BB" w14:textId="2C6015BA" w:rsidR="00977FDA" w:rsidRPr="00977FDA" w:rsidRDefault="00977FDA" w:rsidP="00C61DFB">
      <w:pPr>
        <w:pStyle w:val="Paragraphtext"/>
      </w:pPr>
      <w:r w:rsidRPr="00977FDA">
        <w:t>The</w:t>
      </w:r>
      <w:r w:rsidR="008B2BB2">
        <w:t xml:space="preserve"> NECP legislation contains six</w:t>
      </w:r>
      <w:r w:rsidRPr="00977FDA">
        <w:t xml:space="preserve"> specific objectives</w:t>
      </w:r>
      <w:r w:rsidR="008B2BB2">
        <w:t xml:space="preserve"> of relevance to cycling, to be achieved by 2030</w:t>
      </w:r>
      <w:r w:rsidRPr="00977FDA">
        <w:t>:</w:t>
      </w:r>
      <w:r w:rsidR="00E91667">
        <w:br/>
      </w:r>
    </w:p>
    <w:p w14:paraId="7FA43437" w14:textId="42AF6C25" w:rsidR="00E91667" w:rsidRPr="00E91667" w:rsidRDefault="00977FDA" w:rsidP="005B6706">
      <w:pPr>
        <w:pStyle w:val="Paragraphtext"/>
        <w:numPr>
          <w:ilvl w:val="0"/>
          <w:numId w:val="12"/>
        </w:numPr>
        <w:spacing w:line="300" w:lineRule="auto"/>
      </w:pPr>
      <w:r w:rsidRPr="00E91667">
        <w:t>A 40% cut in economy wide greenhouse gas ("GHG") emissions</w:t>
      </w:r>
      <w:r w:rsidR="009B4EF7">
        <w:t>;</w:t>
      </w:r>
    </w:p>
    <w:p w14:paraId="03ECF238" w14:textId="1FEE254D" w:rsidR="00E91667" w:rsidRPr="00E91667" w:rsidRDefault="00977FDA" w:rsidP="005B6706">
      <w:pPr>
        <w:pStyle w:val="Paragraphtext"/>
        <w:numPr>
          <w:ilvl w:val="0"/>
          <w:numId w:val="12"/>
        </w:numPr>
        <w:spacing w:line="300" w:lineRule="auto"/>
      </w:pPr>
      <w:r w:rsidRPr="00E91667">
        <w:t>A 27% improvement in energy efficiency, with a view to a level of 30%</w:t>
      </w:r>
      <w:r w:rsidR="009B4EF7">
        <w:t>;</w:t>
      </w:r>
    </w:p>
    <w:p w14:paraId="25722146" w14:textId="0EAFF0A1" w:rsidR="00E91667" w:rsidRPr="00E91667" w:rsidRDefault="00977FDA" w:rsidP="005B6706">
      <w:pPr>
        <w:pStyle w:val="Paragraphtext"/>
        <w:numPr>
          <w:ilvl w:val="0"/>
          <w:numId w:val="12"/>
        </w:numPr>
        <w:spacing w:line="300" w:lineRule="auto"/>
      </w:pPr>
      <w:r w:rsidRPr="00E91667">
        <w:t>To update the Energy Union’s system for monitoring and reporting emissions and removals to reflect the Paris Agreement</w:t>
      </w:r>
      <w:r w:rsidR="009B4EF7">
        <w:t>;</w:t>
      </w:r>
    </w:p>
    <w:p w14:paraId="2D361DA0" w14:textId="69E79B88" w:rsidR="00E91667" w:rsidRPr="00E91667" w:rsidRDefault="00977FDA" w:rsidP="005B6706">
      <w:pPr>
        <w:pStyle w:val="Paragraphtext"/>
        <w:numPr>
          <w:ilvl w:val="0"/>
          <w:numId w:val="12"/>
        </w:numPr>
        <w:spacing w:line="300" w:lineRule="auto"/>
      </w:pPr>
      <w:r w:rsidRPr="00E91667">
        <w:t>To ensure the use of consistent data to report greenhouse gas emissions</w:t>
      </w:r>
      <w:r w:rsidR="009B4EF7">
        <w:t>;</w:t>
      </w:r>
    </w:p>
    <w:p w14:paraId="315D861F" w14:textId="31659FB4" w:rsidR="00E91667" w:rsidRDefault="00977FDA" w:rsidP="005B6706">
      <w:pPr>
        <w:pStyle w:val="Paragraphtext"/>
        <w:numPr>
          <w:ilvl w:val="0"/>
          <w:numId w:val="12"/>
        </w:numPr>
        <w:spacing w:line="300" w:lineRule="auto"/>
      </w:pPr>
      <w:r w:rsidRPr="00E91667">
        <w:t>To establish a regulatory framework for the Governance of the Energy Union with two main pillars: First, the streamlining and integration of existing planning, reporting and monitoring obligations. Second, the definition of a robust political process between Member States and the Commission</w:t>
      </w:r>
      <w:r w:rsidR="009B4EF7">
        <w:t>;</w:t>
      </w:r>
    </w:p>
    <w:p w14:paraId="0F1C91E3" w14:textId="4E74507D" w:rsidR="00977FDA" w:rsidRDefault="00977FDA" w:rsidP="005B6706">
      <w:pPr>
        <w:pStyle w:val="Paragraphtext"/>
        <w:numPr>
          <w:ilvl w:val="0"/>
          <w:numId w:val="12"/>
        </w:numPr>
        <w:spacing w:line="300" w:lineRule="auto"/>
      </w:pPr>
      <w:r w:rsidRPr="00E91667">
        <w:t>The proposed Regulation will contribute to the implementation of the Paris Agreement including its 5 years review cycle and ensures that monitoring, reporting and verification requirements under the UNFCCC and Paris Agreement are harmoniously integrated into the</w:t>
      </w:r>
      <w:r w:rsidR="009B4EF7">
        <w:t xml:space="preserve"> governance of the Energy Union.</w:t>
      </w:r>
    </w:p>
    <w:p w14:paraId="7AEBD21E" w14:textId="77777777" w:rsidR="00977FDA" w:rsidRDefault="00977FDA" w:rsidP="00E91667">
      <w:pPr>
        <w:pStyle w:val="ECFboldtext"/>
      </w:pPr>
      <w:r w:rsidRPr="00977FDA">
        <w:lastRenderedPageBreak/>
        <w:t>How does cycling fit in?</w:t>
      </w:r>
    </w:p>
    <w:p w14:paraId="21F3FE76" w14:textId="77777777" w:rsidR="00E91667" w:rsidRPr="00977FDA" w:rsidRDefault="00E91667" w:rsidP="00E91667">
      <w:pPr>
        <w:pStyle w:val="ECFboldtext"/>
      </w:pPr>
    </w:p>
    <w:p w14:paraId="43E8C282" w14:textId="77777777" w:rsidR="00977FDA" w:rsidRDefault="00977FDA" w:rsidP="00E91667">
      <w:pPr>
        <w:pStyle w:val="Paragraphtext"/>
      </w:pPr>
      <w:r w:rsidRPr="00977FDA">
        <w:t xml:space="preserve">The proposed regulation leaves the bulk of the decision making for how specific policy measures will be designed and implemented up to member states. It is therefore possible that cycling could fill a relatively significant part of the measures a member state choose to take, meaning that funding set aside to achieve their NECP could be used for cycling projects. </w:t>
      </w:r>
    </w:p>
    <w:p w14:paraId="2875C9C3" w14:textId="77777777" w:rsidR="00E91667" w:rsidRPr="00977FDA" w:rsidRDefault="00E91667" w:rsidP="00E91667">
      <w:pPr>
        <w:pStyle w:val="Paragraphtext"/>
      </w:pPr>
    </w:p>
    <w:p w14:paraId="537AC792" w14:textId="77777777" w:rsidR="00977FDA" w:rsidRDefault="00977FDA" w:rsidP="00E91667">
      <w:pPr>
        <w:pStyle w:val="Paragraphtext"/>
      </w:pPr>
      <w:r w:rsidRPr="00977FDA">
        <w:t>In the guidance document that was published to aid member states to develop their NECPs several areas highly relevant to cycling were mentioned/recommended. Member states are advised that their NECP contain:</w:t>
      </w:r>
    </w:p>
    <w:p w14:paraId="49CA0FF6" w14:textId="77777777" w:rsidR="00E91667" w:rsidRPr="00977FDA" w:rsidRDefault="00E91667" w:rsidP="00E91667">
      <w:pPr>
        <w:pStyle w:val="Paragraphtext"/>
      </w:pPr>
    </w:p>
    <w:p w14:paraId="28471DC8" w14:textId="1FB43FBA" w:rsidR="00977FDA" w:rsidRPr="00977FDA" w:rsidRDefault="00977FDA" w:rsidP="00E91667">
      <w:pPr>
        <w:pStyle w:val="Paragraphtext"/>
      </w:pPr>
      <w:r w:rsidRPr="00977FDA">
        <w:t>1. Planned policies and measures to reduce greenhouse gas emissions, covering all key emitting sectors, including transport and agriculture, to meet the annual binding national limits for the non-ETS sectors up to 2030 set under the revised Effort Sharing Decision, with an outlook to the long-term vision and goal to become a low-carbon</w:t>
      </w:r>
      <w:r w:rsidR="009B4EF7">
        <w:t xml:space="preserve"> economy (2050);</w:t>
      </w:r>
    </w:p>
    <w:p w14:paraId="1CB311AE" w14:textId="77777777" w:rsidR="00977FDA" w:rsidRPr="00977FDA" w:rsidRDefault="00977FDA" w:rsidP="00E91667">
      <w:pPr>
        <w:pStyle w:val="Paragraphtext"/>
      </w:pPr>
    </w:p>
    <w:p w14:paraId="1CBA011A" w14:textId="7797F12A" w:rsidR="00977FDA" w:rsidRPr="00977FDA" w:rsidRDefault="008B2BB2" w:rsidP="00E91667">
      <w:pPr>
        <w:pStyle w:val="Paragraphtext"/>
      </w:pPr>
      <w:r>
        <w:t>2</w:t>
      </w:r>
      <w:r w:rsidR="00977FDA" w:rsidRPr="00977FDA">
        <w:t>. National policies and measures planned to support t</w:t>
      </w:r>
      <w:r w:rsidR="009B4EF7">
        <w:t xml:space="preserve">he </w:t>
      </w:r>
      <w:proofErr w:type="spellStart"/>
      <w:r w:rsidR="009B4EF7">
        <w:t>decarbonisation</w:t>
      </w:r>
      <w:proofErr w:type="spellEnd"/>
      <w:r w:rsidR="009B4EF7">
        <w:t xml:space="preserve"> of transport;</w:t>
      </w:r>
    </w:p>
    <w:p w14:paraId="26C90176" w14:textId="77777777" w:rsidR="00977FDA" w:rsidRPr="00977FDA" w:rsidRDefault="00977FDA" w:rsidP="00E91667">
      <w:pPr>
        <w:pStyle w:val="Paragraphtext"/>
      </w:pPr>
    </w:p>
    <w:p w14:paraId="0849DC7E" w14:textId="30483AF1" w:rsidR="00977FDA" w:rsidRPr="00977FDA" w:rsidRDefault="008B2BB2" w:rsidP="00E91667">
      <w:pPr>
        <w:pStyle w:val="Paragraphtext"/>
      </w:pPr>
      <w:r>
        <w:t>3</w:t>
      </w:r>
      <w:r w:rsidR="00977FDA" w:rsidRPr="00977FDA">
        <w:t xml:space="preserve">. National policy strategies and funding </w:t>
      </w:r>
      <w:proofErr w:type="spellStart"/>
      <w:r w:rsidR="00977FDA" w:rsidRPr="00977FDA">
        <w:t>programmes</w:t>
      </w:r>
      <w:proofErr w:type="spellEnd"/>
      <w:r w:rsidR="00977FDA" w:rsidRPr="00977FDA">
        <w:t xml:space="preserve"> for research and innovation in the areas of renewable energy, energy efficiency, and other low-carbon technologies including in the transport sector, as well as their market uptake, including strategies to support resea</w:t>
      </w:r>
      <w:r w:rsidR="009B4EF7">
        <w:t>rch and technology institutions.</w:t>
      </w:r>
    </w:p>
    <w:p w14:paraId="149C9256" w14:textId="77777777" w:rsidR="00977FDA" w:rsidRPr="00977FDA" w:rsidRDefault="00977FDA" w:rsidP="00977FDA">
      <w:pPr>
        <w:rPr>
          <w:rFonts w:ascii="Verdana" w:hAnsi="Verdana"/>
          <w:sz w:val="20"/>
          <w:szCs w:val="20"/>
        </w:rPr>
      </w:pPr>
    </w:p>
    <w:p w14:paraId="55A6A86F" w14:textId="086A5E0A" w:rsidR="00977FDA" w:rsidRPr="00977FDA" w:rsidRDefault="00977FDA" w:rsidP="00AE26AE">
      <w:pPr>
        <w:pStyle w:val="ECFboldtext"/>
      </w:pPr>
      <w:r w:rsidRPr="00977FDA">
        <w:t>Member state examples</w:t>
      </w:r>
      <w:r w:rsidR="00AE26AE">
        <w:br/>
      </w:r>
    </w:p>
    <w:p w14:paraId="75989731" w14:textId="75E7D2E8" w:rsidR="00977FDA" w:rsidRDefault="00977FDA" w:rsidP="00AE26AE">
      <w:pPr>
        <w:pStyle w:val="Paragraphtext"/>
      </w:pPr>
      <w:r w:rsidRPr="00977FDA">
        <w:t xml:space="preserve">Member states are not required to have submitted their final NECPs yet, however they have been in consultation regarding the plans with relevant stakeholders, European Institutions and other member states for some time now. </w:t>
      </w:r>
      <w:r w:rsidR="005D772C">
        <w:t xml:space="preserve">Some states </w:t>
      </w:r>
      <w:r w:rsidRPr="00977FDA">
        <w:t>have even published drafts of their plans prior to submission to the European Commission, and can be seen as examples of what we expect to see from other</w:t>
      </w:r>
      <w:r w:rsidR="005D772C">
        <w:t xml:space="preserve"> member states in the future. Below is a selection of some examples of concrete actions relevant to cycling in Draft NECPs:</w:t>
      </w:r>
    </w:p>
    <w:p w14:paraId="59B4C973" w14:textId="77777777" w:rsidR="00B65DF6" w:rsidRPr="00B65DF6" w:rsidRDefault="00B65DF6" w:rsidP="00AE26AE">
      <w:pPr>
        <w:pStyle w:val="Paragraphtext"/>
      </w:pPr>
    </w:p>
    <w:p w14:paraId="64338B44" w14:textId="49206B1D" w:rsidR="002830A5" w:rsidRPr="002830A5" w:rsidRDefault="00874699" w:rsidP="00B65DF6">
      <w:pPr>
        <w:pStyle w:val="Paragraphtext"/>
        <w:spacing w:line="276" w:lineRule="auto"/>
        <w:ind w:firstLine="720"/>
      </w:pPr>
      <w:hyperlink r:id="rId17" w:history="1">
        <w:r w:rsidR="005D772C" w:rsidRPr="002830A5">
          <w:rPr>
            <w:rStyle w:val="Hyperlink"/>
            <w:rFonts w:asciiTheme="minorHAnsi" w:hAnsiTheme="minorHAnsi"/>
            <w:b/>
            <w:color w:val="055068" w:themeColor="text1"/>
            <w:sz w:val="24"/>
            <w:u w:val="none"/>
            <w:lang w:val="en-US"/>
          </w:rPr>
          <w:t>Finland</w:t>
        </w:r>
      </w:hyperlink>
      <w:r w:rsidR="002830A5">
        <w:rPr>
          <w:rStyle w:val="Hyperlink"/>
          <w:rFonts w:asciiTheme="minorHAnsi" w:hAnsiTheme="minorHAnsi"/>
          <w:color w:val="055068" w:themeColor="text1"/>
          <w:sz w:val="24"/>
          <w:u w:val="none"/>
          <w:lang w:val="en-US"/>
        </w:rPr>
        <w:t xml:space="preserve"> </w:t>
      </w:r>
      <w:r w:rsidR="009C7884" w:rsidRPr="002830A5">
        <w:t>- 30% of journeys to be made by 2030 by walking and cycling</w:t>
      </w:r>
      <w:r w:rsidR="009B4EF7" w:rsidRPr="002830A5">
        <w:rPr>
          <w:rStyle w:val="ParagraphtextChar"/>
        </w:rPr>
        <w:t>.</w:t>
      </w:r>
    </w:p>
    <w:p w14:paraId="2872A651" w14:textId="44429379" w:rsidR="002830A5" w:rsidRPr="002830A5" w:rsidRDefault="00874699" w:rsidP="00576D83">
      <w:pPr>
        <w:pStyle w:val="Paragraphtext"/>
        <w:spacing w:line="276" w:lineRule="auto"/>
        <w:ind w:left="720"/>
      </w:pPr>
      <w:hyperlink r:id="rId18" w:history="1">
        <w:r w:rsidR="009C7884" w:rsidRPr="002830A5">
          <w:rPr>
            <w:rStyle w:val="Hyperlink"/>
            <w:rFonts w:asciiTheme="minorHAnsi" w:hAnsiTheme="minorHAnsi"/>
            <w:b/>
            <w:color w:val="055068" w:themeColor="text1"/>
            <w:sz w:val="24"/>
            <w:u w:val="none"/>
            <w:lang w:val="en-US"/>
          </w:rPr>
          <w:t>Sweden</w:t>
        </w:r>
      </w:hyperlink>
      <w:r w:rsidR="002830A5">
        <w:rPr>
          <w:rStyle w:val="Hyperlink"/>
          <w:rFonts w:asciiTheme="minorHAnsi" w:hAnsiTheme="minorHAnsi"/>
          <w:color w:val="055068" w:themeColor="text1"/>
          <w:sz w:val="24"/>
          <w:u w:val="none"/>
          <w:lang w:val="en-US"/>
        </w:rPr>
        <w:t xml:space="preserve"> </w:t>
      </w:r>
      <w:r w:rsidR="004C4075" w:rsidRPr="002830A5">
        <w:t xml:space="preserve">- Electric Vehicle Premium providing a 25% purchase </w:t>
      </w:r>
      <w:r w:rsidR="00D26D8C" w:rsidRPr="002830A5">
        <w:t>subsidy for e</w:t>
      </w:r>
      <w:r w:rsidR="004C4075" w:rsidRPr="002830A5">
        <w:t>-bikes</w:t>
      </w:r>
      <w:r w:rsidR="00D26D8C" w:rsidRPr="002830A5">
        <w:t xml:space="preserve"> and e-scooters</w:t>
      </w:r>
      <w:r w:rsidR="002830A5">
        <w:t xml:space="preserve"> of up to </w:t>
      </w:r>
      <w:r w:rsidR="004C4075" w:rsidRPr="002830A5">
        <w:t>350m per year for 2018-2020</w:t>
      </w:r>
      <w:r w:rsidR="009B4EF7" w:rsidRPr="002830A5">
        <w:t>.</w:t>
      </w:r>
    </w:p>
    <w:p w14:paraId="15EE64AF" w14:textId="73A1CC52" w:rsidR="004D5867" w:rsidRDefault="00874699" w:rsidP="00576D83">
      <w:pPr>
        <w:pStyle w:val="Paragraphtext"/>
        <w:spacing w:line="276" w:lineRule="auto"/>
        <w:ind w:firstLine="720"/>
      </w:pPr>
      <w:hyperlink r:id="rId19" w:history="1">
        <w:r w:rsidR="009C7884" w:rsidRPr="002830A5">
          <w:rPr>
            <w:rStyle w:val="Hyperlink"/>
            <w:rFonts w:asciiTheme="minorHAnsi" w:hAnsiTheme="minorHAnsi"/>
            <w:b/>
            <w:color w:val="055068" w:themeColor="text1"/>
            <w:sz w:val="24"/>
            <w:u w:val="none"/>
            <w:lang w:val="en-US"/>
          </w:rPr>
          <w:t>Austria</w:t>
        </w:r>
      </w:hyperlink>
      <w:r w:rsidR="002830A5">
        <w:rPr>
          <w:rStyle w:val="Hyperlink"/>
          <w:rFonts w:asciiTheme="minorHAnsi" w:hAnsiTheme="minorHAnsi"/>
          <w:color w:val="055068" w:themeColor="text1"/>
          <w:sz w:val="24"/>
          <w:u w:val="none"/>
          <w:lang w:val="en-US"/>
        </w:rPr>
        <w:t xml:space="preserve"> </w:t>
      </w:r>
      <w:r w:rsidR="009C7884" w:rsidRPr="002830A5">
        <w:t xml:space="preserve">- </w:t>
      </w:r>
      <w:r w:rsidR="00D26D8C" w:rsidRPr="002830A5">
        <w:t>Aim to increase cycle modal share from 7% to 13% by 2025</w:t>
      </w:r>
      <w:r w:rsidR="009B4EF7" w:rsidRPr="002830A5">
        <w:t>.</w:t>
      </w:r>
    </w:p>
    <w:p w14:paraId="45876EBF" w14:textId="7338A2F4" w:rsidR="002830A5" w:rsidRPr="00977FDA" w:rsidRDefault="00977FDA" w:rsidP="00E27AC3">
      <w:pPr>
        <w:pStyle w:val="ECFboldtext"/>
      </w:pPr>
      <w:r w:rsidRPr="00977FDA">
        <w:t xml:space="preserve">What do </w:t>
      </w:r>
      <w:proofErr w:type="gramStart"/>
      <w:r w:rsidRPr="00977FDA">
        <w:t>to:</w:t>
      </w:r>
      <w:proofErr w:type="gramEnd"/>
    </w:p>
    <w:p w14:paraId="09F972FB" w14:textId="77777777" w:rsidR="002830A5" w:rsidRDefault="002830A5" w:rsidP="002830A5">
      <w:pPr>
        <w:pStyle w:val="Paragraphtext"/>
      </w:pPr>
    </w:p>
    <w:p w14:paraId="39B0D20A" w14:textId="77E6FDC1" w:rsidR="004D5867" w:rsidRDefault="004D5867" w:rsidP="002830A5">
      <w:pPr>
        <w:pStyle w:val="Paragraphtext"/>
      </w:pPr>
      <w:r w:rsidRPr="00FF652E">
        <w:t>For the next year, December 31</w:t>
      </w:r>
      <w:r w:rsidRPr="00FF652E">
        <w:rPr>
          <w:vertAlign w:val="superscript"/>
        </w:rPr>
        <w:t>st</w:t>
      </w:r>
      <w:r w:rsidRPr="00FF652E">
        <w:t xml:space="preserve"> 2018 to December 31</w:t>
      </w:r>
      <w:r w:rsidRPr="00FF652E">
        <w:rPr>
          <w:vertAlign w:val="superscript"/>
        </w:rPr>
        <w:t>st</w:t>
      </w:r>
      <w:r w:rsidRPr="00FF652E">
        <w:t xml:space="preserve"> 2019, we will have the chance to make an impact on NECPs. We suggest to take the following actions to make the most of this limited period.</w:t>
      </w:r>
    </w:p>
    <w:p w14:paraId="4F68C4E9" w14:textId="77777777" w:rsidR="004D5867" w:rsidRDefault="004D5867" w:rsidP="002830A5">
      <w:pPr>
        <w:pStyle w:val="Paragraphtext"/>
      </w:pPr>
    </w:p>
    <w:p w14:paraId="6631A435" w14:textId="77777777" w:rsidR="00753361" w:rsidRDefault="00753361" w:rsidP="00753361">
      <w:pPr>
        <w:pStyle w:val="Paragraphtext"/>
        <w:numPr>
          <w:ilvl w:val="0"/>
          <w:numId w:val="16"/>
        </w:numPr>
      </w:pPr>
      <w:r w:rsidRPr="00977FDA">
        <w:t>Communicate with other appropriate stakeholders in your country to try and work together to influence the NECP</w:t>
      </w:r>
      <w:r>
        <w:t>;</w:t>
      </w:r>
    </w:p>
    <w:p w14:paraId="19756F94" w14:textId="77777777" w:rsidR="00753361" w:rsidRDefault="00753361" w:rsidP="00753361">
      <w:pPr>
        <w:pStyle w:val="Paragraphtext"/>
        <w:ind w:left="284"/>
      </w:pPr>
    </w:p>
    <w:p w14:paraId="1B5A6415" w14:textId="0156FFAE" w:rsidR="00977FDA" w:rsidRDefault="00977FDA" w:rsidP="006B2457">
      <w:pPr>
        <w:pStyle w:val="Paragraphtext"/>
        <w:numPr>
          <w:ilvl w:val="0"/>
          <w:numId w:val="16"/>
        </w:numPr>
      </w:pPr>
      <w:r w:rsidRPr="00977FDA">
        <w:t xml:space="preserve">Contact your national ministers in charge of energy and climate policies highlighting the need to include cycling in NECPs in order to </w:t>
      </w:r>
      <w:proofErr w:type="spellStart"/>
      <w:r w:rsidR="00F636D7" w:rsidRPr="00977FDA">
        <w:t>d</w:t>
      </w:r>
      <w:r w:rsidR="00F636D7">
        <w:t>ecarbonise</w:t>
      </w:r>
      <w:proofErr w:type="spellEnd"/>
      <w:r w:rsidR="009B4EF7">
        <w:t xml:space="preserve"> the transport sector;</w:t>
      </w:r>
    </w:p>
    <w:p w14:paraId="58A6357D" w14:textId="77777777" w:rsidR="00E27AC3" w:rsidRDefault="00E27AC3" w:rsidP="00E27AC3">
      <w:pPr>
        <w:pStyle w:val="Paragraphtext"/>
      </w:pPr>
    </w:p>
    <w:p w14:paraId="241259F1" w14:textId="0F37C553" w:rsidR="00C21AF3" w:rsidRDefault="00E91667" w:rsidP="003878E1">
      <w:pPr>
        <w:pStyle w:val="Paragraphtext"/>
        <w:numPr>
          <w:ilvl w:val="0"/>
          <w:numId w:val="16"/>
        </w:numPr>
      </w:pPr>
      <w:r>
        <w:t>Take part in stakeholder meetings organised by national governments on their NECP</w:t>
      </w:r>
      <w:r w:rsidR="009B4EF7">
        <w:t>.</w:t>
      </w:r>
    </w:p>
    <w:p w14:paraId="1CDDAA96" w14:textId="77777777" w:rsidR="00977FDA" w:rsidRDefault="00977FDA" w:rsidP="003878E1">
      <w:pPr>
        <w:pStyle w:val="ECFboldtext"/>
      </w:pPr>
      <w:r w:rsidRPr="00977FDA">
        <w:lastRenderedPageBreak/>
        <w:t>Suggested policies to advocate for:</w:t>
      </w:r>
    </w:p>
    <w:p w14:paraId="630F8226" w14:textId="77777777" w:rsidR="003878E1" w:rsidRPr="00977FDA" w:rsidRDefault="003878E1" w:rsidP="003878E1">
      <w:pPr>
        <w:pStyle w:val="ECFboldtext"/>
      </w:pPr>
    </w:p>
    <w:p w14:paraId="7EE5F429" w14:textId="600A426D" w:rsidR="00977FDA" w:rsidRPr="003878E1" w:rsidRDefault="00977FDA" w:rsidP="003878E1">
      <w:pPr>
        <w:pStyle w:val="ListParagraph"/>
        <w:numPr>
          <w:ilvl w:val="0"/>
          <w:numId w:val="15"/>
        </w:numPr>
        <w:rPr>
          <w:rFonts w:asciiTheme="minorHAnsi" w:hAnsiTheme="minorHAnsi"/>
          <w:color w:val="055068" w:themeColor="text1"/>
          <w:sz w:val="24"/>
          <w:lang w:val="en-US"/>
        </w:rPr>
      </w:pPr>
      <w:r w:rsidRPr="003878E1">
        <w:rPr>
          <w:rFonts w:asciiTheme="minorHAnsi" w:hAnsiTheme="minorHAnsi"/>
          <w:color w:val="055068" w:themeColor="text1"/>
          <w:sz w:val="24"/>
          <w:lang w:val="en-US"/>
        </w:rPr>
        <w:t xml:space="preserve">The </w:t>
      </w:r>
      <w:proofErr w:type="spellStart"/>
      <w:r w:rsidRPr="003878E1">
        <w:rPr>
          <w:rFonts w:asciiTheme="minorHAnsi" w:hAnsiTheme="minorHAnsi"/>
          <w:color w:val="055068" w:themeColor="text1"/>
          <w:sz w:val="24"/>
          <w:lang w:val="en-US"/>
        </w:rPr>
        <w:t>organisation</w:t>
      </w:r>
      <w:proofErr w:type="spellEnd"/>
      <w:r w:rsidRPr="003878E1">
        <w:rPr>
          <w:rFonts w:asciiTheme="minorHAnsi" w:hAnsiTheme="minorHAnsi"/>
          <w:color w:val="055068" w:themeColor="text1"/>
          <w:sz w:val="24"/>
          <w:lang w:val="en-US"/>
        </w:rPr>
        <w:t xml:space="preserve"> of a National Cycle Investment Fund, equipped with annual investments of at least 10 Euros per person, with the purpose of co-funding local and regional cycle projects, such as cycle high</w:t>
      </w:r>
      <w:r w:rsidR="009B4EF7">
        <w:rPr>
          <w:rFonts w:asciiTheme="minorHAnsi" w:hAnsiTheme="minorHAnsi"/>
          <w:color w:val="055068" w:themeColor="text1"/>
          <w:sz w:val="24"/>
          <w:lang w:val="en-US"/>
        </w:rPr>
        <w:t>way projects</w:t>
      </w:r>
      <w:r w:rsidR="00F636D7">
        <w:rPr>
          <w:rFonts w:asciiTheme="minorHAnsi" w:hAnsiTheme="minorHAnsi"/>
          <w:color w:val="055068" w:themeColor="text1"/>
          <w:sz w:val="24"/>
          <w:lang w:val="en-US"/>
        </w:rPr>
        <w:t>, bicycle parking at railways stations</w:t>
      </w:r>
      <w:r w:rsidR="009B4EF7">
        <w:rPr>
          <w:rFonts w:asciiTheme="minorHAnsi" w:hAnsiTheme="minorHAnsi"/>
          <w:color w:val="055068" w:themeColor="text1"/>
          <w:sz w:val="24"/>
          <w:lang w:val="en-US"/>
        </w:rPr>
        <w:t xml:space="preserve"> and other measures;</w:t>
      </w:r>
    </w:p>
    <w:p w14:paraId="6500DA2C" w14:textId="77777777" w:rsidR="003878E1" w:rsidRPr="003878E1" w:rsidRDefault="003878E1" w:rsidP="003878E1">
      <w:pPr>
        <w:rPr>
          <w:lang w:val="en-US"/>
        </w:rPr>
      </w:pPr>
    </w:p>
    <w:p w14:paraId="56D4C786" w14:textId="3C5B07F2" w:rsidR="00977FDA" w:rsidRDefault="00977FDA" w:rsidP="003878E1">
      <w:pPr>
        <w:pStyle w:val="ListParagraph"/>
        <w:numPr>
          <w:ilvl w:val="0"/>
          <w:numId w:val="15"/>
        </w:numPr>
        <w:rPr>
          <w:rFonts w:asciiTheme="minorHAnsi" w:hAnsiTheme="minorHAnsi"/>
          <w:color w:val="055068" w:themeColor="text1"/>
          <w:sz w:val="24"/>
          <w:lang w:val="en-US"/>
        </w:rPr>
      </w:pPr>
      <w:r w:rsidRPr="003878E1">
        <w:rPr>
          <w:rFonts w:asciiTheme="minorHAnsi" w:hAnsiTheme="minorHAnsi"/>
          <w:color w:val="055068" w:themeColor="text1"/>
          <w:sz w:val="24"/>
          <w:lang w:val="en-US"/>
        </w:rPr>
        <w:t>Introduce or extend a national support scheme for the purchase of conventional and electric bicycles (L1e-A), the latter similar to schemes given to electric cars in a number of countries, and/or set up tax-free allowance schemes to supp</w:t>
      </w:r>
      <w:r w:rsidR="009B4EF7">
        <w:rPr>
          <w:rFonts w:asciiTheme="minorHAnsi" w:hAnsiTheme="minorHAnsi"/>
          <w:color w:val="055068" w:themeColor="text1"/>
          <w:sz w:val="24"/>
          <w:lang w:val="en-US"/>
        </w:rPr>
        <w:t>ort commuters who cycle to work;</w:t>
      </w:r>
    </w:p>
    <w:p w14:paraId="0C9B709A" w14:textId="77777777" w:rsidR="003878E1" w:rsidRPr="003878E1" w:rsidRDefault="003878E1" w:rsidP="003878E1">
      <w:pPr>
        <w:rPr>
          <w:rFonts w:asciiTheme="minorHAnsi" w:hAnsiTheme="minorHAnsi"/>
          <w:color w:val="055068" w:themeColor="text1"/>
          <w:sz w:val="24"/>
          <w:lang w:val="en-US"/>
        </w:rPr>
      </w:pPr>
    </w:p>
    <w:p w14:paraId="3BF7389F" w14:textId="1512BB63" w:rsidR="00977FDA" w:rsidRDefault="00977FDA" w:rsidP="003878E1">
      <w:pPr>
        <w:pStyle w:val="ListParagraph"/>
        <w:numPr>
          <w:ilvl w:val="0"/>
          <w:numId w:val="15"/>
        </w:numPr>
        <w:rPr>
          <w:rFonts w:asciiTheme="minorHAnsi" w:hAnsiTheme="minorHAnsi"/>
          <w:color w:val="055068" w:themeColor="text1"/>
          <w:sz w:val="24"/>
          <w:lang w:val="en-US"/>
        </w:rPr>
      </w:pPr>
      <w:r w:rsidRPr="003878E1">
        <w:rPr>
          <w:rFonts w:asciiTheme="minorHAnsi" w:hAnsiTheme="minorHAnsi"/>
          <w:color w:val="055068" w:themeColor="text1"/>
          <w:sz w:val="24"/>
          <w:lang w:val="en-US"/>
        </w:rPr>
        <w:t>Frame national support and coordination of cycling in a systematic manner, by developing and implementing a national cycling strategy wi</w:t>
      </w:r>
      <w:r w:rsidR="009B4EF7">
        <w:rPr>
          <w:rFonts w:asciiTheme="minorHAnsi" w:hAnsiTheme="minorHAnsi"/>
          <w:color w:val="055068" w:themeColor="text1"/>
          <w:sz w:val="24"/>
          <w:lang w:val="en-US"/>
        </w:rPr>
        <w:t>th clear modal shift objectives;</w:t>
      </w:r>
    </w:p>
    <w:p w14:paraId="24DF679E" w14:textId="77777777" w:rsidR="003878E1" w:rsidRPr="003878E1" w:rsidRDefault="003878E1" w:rsidP="003878E1">
      <w:pPr>
        <w:rPr>
          <w:rFonts w:asciiTheme="minorHAnsi" w:hAnsiTheme="minorHAnsi"/>
          <w:color w:val="055068" w:themeColor="text1"/>
          <w:sz w:val="24"/>
          <w:lang w:val="en-US"/>
        </w:rPr>
      </w:pPr>
    </w:p>
    <w:p w14:paraId="1643F68B" w14:textId="6ECDFD81" w:rsidR="00977FDA" w:rsidRDefault="00977FDA" w:rsidP="003878E1">
      <w:pPr>
        <w:pStyle w:val="ListParagraph"/>
        <w:numPr>
          <w:ilvl w:val="0"/>
          <w:numId w:val="15"/>
        </w:numPr>
        <w:rPr>
          <w:rFonts w:asciiTheme="minorHAnsi" w:hAnsiTheme="minorHAnsi"/>
          <w:color w:val="055068" w:themeColor="text1"/>
          <w:sz w:val="24"/>
          <w:lang w:val="en-US"/>
        </w:rPr>
      </w:pPr>
      <w:r w:rsidRPr="003878E1">
        <w:rPr>
          <w:rFonts w:asciiTheme="minorHAnsi" w:hAnsiTheme="minorHAnsi"/>
          <w:color w:val="055068" w:themeColor="text1"/>
          <w:sz w:val="24"/>
          <w:lang w:val="en-US"/>
        </w:rPr>
        <w:t>The provision of national resources to help cities develop and implement ambitious Sustainable Urban Mobility and Sustainable Urban Logis</w:t>
      </w:r>
      <w:r w:rsidR="009B4EF7">
        <w:rPr>
          <w:rFonts w:asciiTheme="minorHAnsi" w:hAnsiTheme="minorHAnsi"/>
          <w:color w:val="055068" w:themeColor="text1"/>
          <w:sz w:val="24"/>
          <w:lang w:val="en-US"/>
        </w:rPr>
        <w:t>tics Plans;</w:t>
      </w:r>
    </w:p>
    <w:p w14:paraId="24104729" w14:textId="77777777" w:rsidR="003878E1" w:rsidRPr="003878E1" w:rsidRDefault="003878E1" w:rsidP="003878E1">
      <w:pPr>
        <w:rPr>
          <w:rFonts w:asciiTheme="minorHAnsi" w:hAnsiTheme="minorHAnsi"/>
          <w:color w:val="055068" w:themeColor="text1"/>
          <w:sz w:val="24"/>
          <w:lang w:val="en-US"/>
        </w:rPr>
      </w:pPr>
    </w:p>
    <w:p w14:paraId="650F9155" w14:textId="09AC81EA" w:rsidR="002A73A6" w:rsidRDefault="00977FDA" w:rsidP="00F36BF2">
      <w:pPr>
        <w:pStyle w:val="ListParagraph"/>
        <w:numPr>
          <w:ilvl w:val="0"/>
          <w:numId w:val="15"/>
        </w:numPr>
        <w:rPr>
          <w:rFonts w:asciiTheme="minorHAnsi" w:hAnsiTheme="minorHAnsi"/>
          <w:color w:val="055068" w:themeColor="text1"/>
          <w:sz w:val="24"/>
          <w:lang w:val="en-US"/>
        </w:rPr>
      </w:pPr>
      <w:r w:rsidRPr="003878E1">
        <w:rPr>
          <w:rFonts w:asciiTheme="minorHAnsi" w:hAnsiTheme="minorHAnsi"/>
          <w:color w:val="055068" w:themeColor="text1"/>
          <w:sz w:val="24"/>
          <w:lang w:val="en-US"/>
        </w:rPr>
        <w:t>Adaptations to national building codes that introduce a minimum number of bicycle parking spaces and a maxim</w:t>
      </w:r>
      <w:r w:rsidR="003878E1">
        <w:rPr>
          <w:rFonts w:asciiTheme="minorHAnsi" w:hAnsiTheme="minorHAnsi"/>
          <w:color w:val="055068" w:themeColor="text1"/>
          <w:sz w:val="24"/>
          <w:lang w:val="en-US"/>
        </w:rPr>
        <w:t>um number of car parking spaces</w:t>
      </w:r>
      <w:r w:rsidR="009B4EF7">
        <w:rPr>
          <w:rFonts w:asciiTheme="minorHAnsi" w:hAnsiTheme="minorHAnsi"/>
          <w:color w:val="055068" w:themeColor="text1"/>
          <w:sz w:val="24"/>
          <w:lang w:val="en-US"/>
        </w:rPr>
        <w:t>.</w:t>
      </w:r>
    </w:p>
    <w:p w14:paraId="4D6FC594" w14:textId="77777777" w:rsidR="00F56700" w:rsidRPr="00F56700" w:rsidRDefault="00F56700" w:rsidP="00F56700">
      <w:pPr>
        <w:pStyle w:val="ListParagraph"/>
        <w:rPr>
          <w:rFonts w:asciiTheme="minorHAnsi" w:hAnsiTheme="minorHAnsi"/>
          <w:color w:val="055068" w:themeColor="text1"/>
          <w:sz w:val="24"/>
          <w:lang w:val="en-US"/>
        </w:rPr>
      </w:pPr>
    </w:p>
    <w:p w14:paraId="4320692D" w14:textId="77777777" w:rsidR="00F56700" w:rsidRDefault="00F56700" w:rsidP="00F56700">
      <w:pPr>
        <w:rPr>
          <w:rFonts w:asciiTheme="minorHAnsi" w:hAnsiTheme="minorHAnsi"/>
          <w:color w:val="055068" w:themeColor="text1"/>
          <w:sz w:val="24"/>
          <w:lang w:val="en-US"/>
        </w:rPr>
      </w:pPr>
    </w:p>
    <w:p w14:paraId="378E3B52" w14:textId="77777777" w:rsidR="00F56700" w:rsidRDefault="00F56700" w:rsidP="00F56700">
      <w:pPr>
        <w:rPr>
          <w:rFonts w:asciiTheme="minorHAnsi" w:hAnsiTheme="minorHAnsi"/>
          <w:color w:val="055068" w:themeColor="text1"/>
          <w:sz w:val="24"/>
          <w:lang w:val="en-US"/>
        </w:rPr>
      </w:pPr>
    </w:p>
    <w:p w14:paraId="668684EA" w14:textId="54BA8CBC" w:rsidR="00F56700" w:rsidRPr="00FF652E" w:rsidRDefault="00F56700" w:rsidP="00F56700">
      <w:pPr>
        <w:rPr>
          <w:rFonts w:asciiTheme="minorHAnsi" w:hAnsiTheme="minorHAnsi"/>
          <w:color w:val="055068" w:themeColor="text1"/>
          <w:sz w:val="24"/>
          <w:lang w:val="en-US"/>
        </w:rPr>
      </w:pPr>
      <w:r w:rsidRPr="00FF652E">
        <w:rPr>
          <w:rFonts w:asciiTheme="minorHAnsi" w:hAnsiTheme="minorHAnsi"/>
          <w:color w:val="055068" w:themeColor="text1"/>
          <w:sz w:val="24"/>
          <w:lang w:val="en-US"/>
        </w:rPr>
        <w:t>Relevant documents:</w:t>
      </w:r>
    </w:p>
    <w:p w14:paraId="51A5F3D3" w14:textId="77777777" w:rsidR="00F56700" w:rsidRPr="00FF652E" w:rsidRDefault="00F56700" w:rsidP="00F56700">
      <w:pPr>
        <w:rPr>
          <w:rFonts w:asciiTheme="minorHAnsi" w:hAnsiTheme="minorHAnsi"/>
          <w:color w:val="055068" w:themeColor="text1"/>
          <w:sz w:val="24"/>
          <w:lang w:val="en-US"/>
        </w:rPr>
      </w:pPr>
    </w:p>
    <w:p w14:paraId="78D6D69C" w14:textId="1278E1D5" w:rsidR="00F56700" w:rsidRPr="00FF652E" w:rsidRDefault="00F56700" w:rsidP="00F56700">
      <w:pPr>
        <w:rPr>
          <w:rFonts w:asciiTheme="minorHAnsi" w:hAnsiTheme="minorHAnsi"/>
          <w:color w:val="055068" w:themeColor="text1"/>
          <w:sz w:val="24"/>
          <w:lang w:val="en-US"/>
        </w:rPr>
      </w:pPr>
      <w:r w:rsidRPr="00FF652E">
        <w:rPr>
          <w:rFonts w:asciiTheme="minorHAnsi" w:hAnsiTheme="minorHAnsi"/>
          <w:color w:val="055068" w:themeColor="text1"/>
          <w:sz w:val="24"/>
          <w:lang w:val="en-US"/>
        </w:rPr>
        <w:t xml:space="preserve">EU </w:t>
      </w:r>
      <w:r w:rsidR="009A66C6" w:rsidRPr="00FF652E">
        <w:rPr>
          <w:rFonts w:asciiTheme="minorHAnsi" w:hAnsiTheme="minorHAnsi"/>
          <w:color w:val="055068" w:themeColor="text1"/>
          <w:sz w:val="24"/>
          <w:lang w:val="en-US"/>
        </w:rPr>
        <w:t>l</w:t>
      </w:r>
      <w:r w:rsidRPr="00FF652E">
        <w:rPr>
          <w:rFonts w:asciiTheme="minorHAnsi" w:hAnsiTheme="minorHAnsi"/>
          <w:color w:val="055068" w:themeColor="text1"/>
          <w:sz w:val="24"/>
          <w:lang w:val="en-US"/>
        </w:rPr>
        <w:t xml:space="preserve">egislation requiring NECPs, </w:t>
      </w:r>
      <w:hyperlink r:id="rId20" w:history="1">
        <w:r w:rsidRPr="00FF652E">
          <w:rPr>
            <w:rStyle w:val="Hyperlink"/>
            <w:rFonts w:asciiTheme="minorHAnsi" w:hAnsiTheme="minorHAnsi"/>
            <w:sz w:val="24"/>
            <w:lang w:val="en-US"/>
          </w:rPr>
          <w:t>Explanatory memorandum on the Governance of the Energy Union.</w:t>
        </w:r>
      </w:hyperlink>
    </w:p>
    <w:p w14:paraId="7DEDD08A" w14:textId="77777777" w:rsidR="00F56700" w:rsidRPr="00FF652E" w:rsidRDefault="00F56700" w:rsidP="00F56700">
      <w:pPr>
        <w:rPr>
          <w:rFonts w:asciiTheme="minorHAnsi" w:hAnsiTheme="minorHAnsi"/>
          <w:color w:val="055068" w:themeColor="text1"/>
          <w:sz w:val="24"/>
          <w:lang w:val="en-US"/>
        </w:rPr>
      </w:pPr>
    </w:p>
    <w:p w14:paraId="276641EF" w14:textId="20D81C77" w:rsidR="00F56700" w:rsidRPr="00FF652E" w:rsidRDefault="00F56700" w:rsidP="00F56700">
      <w:pPr>
        <w:rPr>
          <w:rFonts w:asciiTheme="minorHAnsi" w:hAnsiTheme="minorHAnsi"/>
          <w:color w:val="055068" w:themeColor="text1"/>
          <w:sz w:val="24"/>
          <w:lang w:val="en-US"/>
        </w:rPr>
      </w:pPr>
      <w:r w:rsidRPr="00FF652E">
        <w:rPr>
          <w:rFonts w:asciiTheme="minorHAnsi" w:hAnsiTheme="minorHAnsi"/>
          <w:color w:val="055068" w:themeColor="text1"/>
          <w:sz w:val="24"/>
          <w:lang w:val="en-US"/>
        </w:rPr>
        <w:t xml:space="preserve">NECP </w:t>
      </w:r>
      <w:r w:rsidR="009A66C6" w:rsidRPr="00FF652E">
        <w:rPr>
          <w:rFonts w:asciiTheme="minorHAnsi" w:hAnsiTheme="minorHAnsi"/>
          <w:color w:val="055068" w:themeColor="text1"/>
          <w:sz w:val="24"/>
          <w:lang w:val="en-US"/>
        </w:rPr>
        <w:t>g</w:t>
      </w:r>
      <w:r w:rsidRPr="00FF652E">
        <w:rPr>
          <w:rFonts w:asciiTheme="minorHAnsi" w:hAnsiTheme="minorHAnsi"/>
          <w:color w:val="055068" w:themeColor="text1"/>
          <w:sz w:val="24"/>
          <w:lang w:val="en-US"/>
        </w:rPr>
        <w:t>uidance</w:t>
      </w:r>
      <w:r w:rsidR="009A66C6" w:rsidRPr="00FF652E">
        <w:rPr>
          <w:rFonts w:asciiTheme="minorHAnsi" w:hAnsiTheme="minorHAnsi"/>
          <w:color w:val="055068" w:themeColor="text1"/>
          <w:sz w:val="24"/>
          <w:lang w:val="en-US"/>
        </w:rPr>
        <w:t xml:space="preserve"> d</w:t>
      </w:r>
      <w:r w:rsidRPr="00FF652E">
        <w:rPr>
          <w:rFonts w:asciiTheme="minorHAnsi" w:hAnsiTheme="minorHAnsi"/>
          <w:color w:val="055068" w:themeColor="text1"/>
          <w:sz w:val="24"/>
          <w:lang w:val="en-US"/>
        </w:rPr>
        <w:t xml:space="preserve">ocument for NECP implementation, </w:t>
      </w:r>
      <w:hyperlink r:id="rId21" w:history="1">
        <w:r w:rsidRPr="00FF652E">
          <w:rPr>
            <w:rStyle w:val="Hyperlink"/>
            <w:rFonts w:asciiTheme="minorHAnsi" w:hAnsiTheme="minorHAnsi"/>
            <w:sz w:val="24"/>
            <w:lang w:val="en-US"/>
          </w:rPr>
          <w:t xml:space="preserve">Guidance to </w:t>
        </w:r>
        <w:r w:rsidR="009A66C6" w:rsidRPr="00FF652E">
          <w:rPr>
            <w:rStyle w:val="Hyperlink"/>
            <w:rFonts w:asciiTheme="minorHAnsi" w:hAnsiTheme="minorHAnsi"/>
            <w:sz w:val="24"/>
            <w:lang w:val="en-US"/>
          </w:rPr>
          <w:t>Member States</w:t>
        </w:r>
        <w:r w:rsidRPr="00FF652E">
          <w:rPr>
            <w:rStyle w:val="Hyperlink"/>
            <w:rFonts w:asciiTheme="minorHAnsi" w:hAnsiTheme="minorHAnsi"/>
            <w:sz w:val="24"/>
            <w:lang w:val="en-US"/>
          </w:rPr>
          <w:t xml:space="preserve"> on National Energy and </w:t>
        </w:r>
        <w:r w:rsidR="009A66C6" w:rsidRPr="00FF652E">
          <w:rPr>
            <w:rStyle w:val="Hyperlink"/>
            <w:rFonts w:asciiTheme="minorHAnsi" w:hAnsiTheme="minorHAnsi"/>
            <w:sz w:val="24"/>
            <w:lang w:val="en-US"/>
          </w:rPr>
          <w:t>Climate</w:t>
        </w:r>
        <w:r w:rsidRPr="00FF652E">
          <w:rPr>
            <w:rStyle w:val="Hyperlink"/>
            <w:rFonts w:asciiTheme="minorHAnsi" w:hAnsiTheme="minorHAnsi"/>
            <w:sz w:val="24"/>
            <w:lang w:val="en-US"/>
          </w:rPr>
          <w:t xml:space="preserve"> Plans as part of the Energy Union Governance</w:t>
        </w:r>
      </w:hyperlink>
      <w:r w:rsidR="009A66C6" w:rsidRPr="00FF652E">
        <w:rPr>
          <w:rFonts w:asciiTheme="minorHAnsi" w:hAnsiTheme="minorHAnsi"/>
          <w:color w:val="055068" w:themeColor="text1"/>
          <w:sz w:val="24"/>
          <w:lang w:val="en-US"/>
        </w:rPr>
        <w:t>.</w:t>
      </w:r>
      <w:r w:rsidRPr="00FF652E">
        <w:rPr>
          <w:rFonts w:asciiTheme="minorHAnsi" w:hAnsiTheme="minorHAnsi"/>
          <w:color w:val="055068" w:themeColor="text1"/>
          <w:sz w:val="24"/>
          <w:lang w:val="en-US"/>
        </w:rPr>
        <w:t xml:space="preserve"> </w:t>
      </w:r>
    </w:p>
    <w:p w14:paraId="282AEA57" w14:textId="77777777" w:rsidR="009A66C6" w:rsidRPr="00FF652E" w:rsidRDefault="009A66C6" w:rsidP="00F56700">
      <w:pPr>
        <w:rPr>
          <w:rFonts w:asciiTheme="minorHAnsi" w:hAnsiTheme="minorHAnsi"/>
          <w:color w:val="055068" w:themeColor="text1"/>
          <w:sz w:val="24"/>
          <w:lang w:val="en-US"/>
        </w:rPr>
      </w:pPr>
    </w:p>
    <w:p w14:paraId="116CE66C" w14:textId="738938F7" w:rsidR="009A66C6" w:rsidRPr="00FF652E" w:rsidRDefault="009A66C6" w:rsidP="00F56700">
      <w:pPr>
        <w:rPr>
          <w:rFonts w:asciiTheme="minorHAnsi" w:hAnsiTheme="minorHAnsi"/>
          <w:color w:val="055068" w:themeColor="text1"/>
          <w:sz w:val="24"/>
          <w:lang w:val="en-US"/>
        </w:rPr>
      </w:pPr>
      <w:r w:rsidRPr="00FF652E">
        <w:rPr>
          <w:rFonts w:asciiTheme="minorHAnsi" w:hAnsiTheme="minorHAnsi"/>
          <w:color w:val="055068" w:themeColor="text1"/>
          <w:sz w:val="24"/>
          <w:lang w:val="en-US"/>
        </w:rPr>
        <w:t xml:space="preserve">2030 EU GHG emissions targets and framework, </w:t>
      </w:r>
      <w:hyperlink r:id="rId22" w:history="1">
        <w:proofErr w:type="gramStart"/>
        <w:r w:rsidRPr="00FF652E">
          <w:rPr>
            <w:rStyle w:val="Hyperlink"/>
            <w:rFonts w:asciiTheme="minorHAnsi" w:hAnsiTheme="minorHAnsi"/>
            <w:sz w:val="24"/>
            <w:lang w:val="en-US"/>
          </w:rPr>
          <w:t>A</w:t>
        </w:r>
        <w:proofErr w:type="gramEnd"/>
        <w:r w:rsidRPr="00FF652E">
          <w:rPr>
            <w:rStyle w:val="Hyperlink"/>
            <w:rFonts w:asciiTheme="minorHAnsi" w:hAnsiTheme="minorHAnsi"/>
            <w:sz w:val="24"/>
            <w:lang w:val="en-US"/>
          </w:rPr>
          <w:t xml:space="preserve"> policy framework for climate and energy in the period from 2020 to 2030.</w:t>
        </w:r>
      </w:hyperlink>
    </w:p>
    <w:p w14:paraId="725B4FF1" w14:textId="77777777" w:rsidR="009A66C6" w:rsidRPr="00FF652E" w:rsidRDefault="009A66C6" w:rsidP="00F56700">
      <w:pPr>
        <w:rPr>
          <w:rFonts w:asciiTheme="minorHAnsi" w:hAnsiTheme="minorHAnsi"/>
          <w:color w:val="055068" w:themeColor="text1"/>
          <w:sz w:val="24"/>
          <w:lang w:val="en-US"/>
        </w:rPr>
      </w:pPr>
    </w:p>
    <w:p w14:paraId="66F35D1D" w14:textId="77777777" w:rsidR="008E4A26" w:rsidRPr="00FF652E" w:rsidRDefault="009A66C6" w:rsidP="009A66C6">
      <w:pPr>
        <w:rPr>
          <w:rFonts w:asciiTheme="minorHAnsi" w:hAnsiTheme="minorHAnsi"/>
          <w:color w:val="055068" w:themeColor="text1"/>
          <w:sz w:val="24"/>
          <w:lang w:val="en-US"/>
        </w:rPr>
      </w:pPr>
      <w:r w:rsidRPr="00FF652E">
        <w:rPr>
          <w:rFonts w:asciiTheme="minorHAnsi" w:hAnsiTheme="minorHAnsi"/>
          <w:color w:val="055068" w:themeColor="text1"/>
          <w:sz w:val="24"/>
          <w:lang w:val="en-US"/>
        </w:rPr>
        <w:t xml:space="preserve">2050 EU Long Term Climate Strategy, </w:t>
      </w:r>
      <w:hyperlink r:id="rId23" w:history="1">
        <w:r w:rsidRPr="00FF652E">
          <w:rPr>
            <w:rStyle w:val="Hyperlink"/>
            <w:rFonts w:asciiTheme="minorHAnsi" w:hAnsiTheme="minorHAnsi"/>
            <w:sz w:val="24"/>
            <w:lang w:val="en-US"/>
          </w:rPr>
          <w:t>A Clean Planet for all A European strategic long-term vision for a prosperous, modern, competitive and climate neutral economy</w:t>
        </w:r>
      </w:hyperlink>
      <w:r w:rsidRPr="00FF652E">
        <w:rPr>
          <w:rFonts w:asciiTheme="minorHAnsi" w:hAnsiTheme="minorHAnsi"/>
          <w:color w:val="055068" w:themeColor="text1"/>
          <w:sz w:val="24"/>
          <w:lang w:val="en-US"/>
        </w:rPr>
        <w:t>.</w:t>
      </w:r>
    </w:p>
    <w:p w14:paraId="64CABDC8" w14:textId="77777777" w:rsidR="008E4A26" w:rsidRPr="00FF652E" w:rsidRDefault="008E4A26" w:rsidP="009A66C6">
      <w:pPr>
        <w:rPr>
          <w:rFonts w:asciiTheme="minorHAnsi" w:hAnsiTheme="minorHAnsi"/>
          <w:color w:val="055068" w:themeColor="text1"/>
          <w:sz w:val="24"/>
          <w:lang w:val="en-US"/>
        </w:rPr>
      </w:pPr>
    </w:p>
    <w:p w14:paraId="3416C644" w14:textId="25C84AD8" w:rsidR="009A66C6" w:rsidRDefault="008E4A26" w:rsidP="009A66C6">
      <w:pPr>
        <w:rPr>
          <w:rFonts w:asciiTheme="minorHAnsi" w:hAnsiTheme="minorHAnsi"/>
          <w:color w:val="055068" w:themeColor="text1"/>
          <w:sz w:val="24"/>
          <w:lang w:val="en-US"/>
        </w:rPr>
      </w:pPr>
      <w:r w:rsidRPr="00FF652E">
        <w:rPr>
          <w:rFonts w:asciiTheme="minorHAnsi" w:hAnsiTheme="minorHAnsi"/>
          <w:color w:val="055068" w:themeColor="text1"/>
          <w:sz w:val="24"/>
          <w:lang w:val="en-US"/>
        </w:rPr>
        <w:t xml:space="preserve">2015 Paris Agreement, </w:t>
      </w:r>
      <w:hyperlink r:id="rId24" w:history="1">
        <w:proofErr w:type="gramStart"/>
        <w:r w:rsidRPr="00FF652E">
          <w:rPr>
            <w:rStyle w:val="Hyperlink"/>
            <w:rFonts w:asciiTheme="minorHAnsi" w:hAnsiTheme="minorHAnsi"/>
            <w:sz w:val="24"/>
            <w:lang w:val="en-US"/>
          </w:rPr>
          <w:t>The</w:t>
        </w:r>
        <w:proofErr w:type="gramEnd"/>
        <w:r w:rsidRPr="00FF652E">
          <w:rPr>
            <w:rStyle w:val="Hyperlink"/>
            <w:rFonts w:asciiTheme="minorHAnsi" w:hAnsiTheme="minorHAnsi"/>
            <w:sz w:val="24"/>
            <w:lang w:val="en-US"/>
          </w:rPr>
          <w:t xml:space="preserve"> Paris Agreement.</w:t>
        </w:r>
      </w:hyperlink>
    </w:p>
    <w:p w14:paraId="77394C4C" w14:textId="77777777" w:rsidR="009A66C6" w:rsidRDefault="009A66C6" w:rsidP="00F56700">
      <w:pPr>
        <w:rPr>
          <w:rFonts w:asciiTheme="minorHAnsi" w:hAnsiTheme="minorHAnsi"/>
          <w:color w:val="055068" w:themeColor="text1"/>
          <w:sz w:val="24"/>
          <w:lang w:val="en-US"/>
        </w:rPr>
      </w:pPr>
    </w:p>
    <w:p w14:paraId="6C30E523" w14:textId="77777777" w:rsidR="009A66C6" w:rsidRDefault="009A66C6" w:rsidP="00F56700">
      <w:pPr>
        <w:rPr>
          <w:rFonts w:asciiTheme="minorHAnsi" w:hAnsiTheme="minorHAnsi"/>
          <w:color w:val="055068" w:themeColor="text1"/>
          <w:sz w:val="24"/>
          <w:lang w:val="en-US"/>
        </w:rPr>
      </w:pPr>
    </w:p>
    <w:p w14:paraId="04818BA4" w14:textId="77777777" w:rsidR="00F56700" w:rsidRPr="00F56700" w:rsidRDefault="00F56700" w:rsidP="00F56700">
      <w:pPr>
        <w:rPr>
          <w:rFonts w:asciiTheme="minorHAnsi" w:hAnsiTheme="minorHAnsi"/>
          <w:color w:val="055068" w:themeColor="text1"/>
          <w:sz w:val="24"/>
          <w:lang w:val="en-US"/>
        </w:rPr>
      </w:pPr>
    </w:p>
    <w:sectPr w:rsidR="00F56700" w:rsidRPr="00F56700" w:rsidSect="00060CFD">
      <w:type w:val="continuous"/>
      <w:pgSz w:w="11906" w:h="16838" w:code="9"/>
      <w:pgMar w:top="1701" w:right="1196" w:bottom="1701" w:left="1021" w:header="39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CC107" w14:textId="77777777" w:rsidR="00251ED7" w:rsidRDefault="00251ED7">
      <w:r>
        <w:separator/>
      </w:r>
    </w:p>
    <w:p w14:paraId="0F55D18F" w14:textId="77777777" w:rsidR="00251ED7" w:rsidRDefault="00251ED7"/>
  </w:endnote>
  <w:endnote w:type="continuationSeparator" w:id="0">
    <w:p w14:paraId="5C117D87" w14:textId="77777777" w:rsidR="00251ED7" w:rsidRDefault="00251ED7">
      <w:r>
        <w:continuationSeparator/>
      </w:r>
    </w:p>
    <w:p w14:paraId="260985AD" w14:textId="77777777" w:rsidR="00251ED7" w:rsidRDefault="00251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Lt BT">
    <w:panose1 w:val="020B0402020204020303"/>
    <w:charset w:val="00"/>
    <w:family w:val="swiss"/>
    <w:pitch w:val="variable"/>
    <w:sig w:usb0="800000AF"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TEE">
    <w:panose1 w:val="00000000000000000000"/>
    <w:charset w:val="00"/>
    <w:family w:val="auto"/>
    <w:pitch w:val="variable"/>
    <w:sig w:usb0="A0000007" w:usb1="00000008" w:usb2="00000000" w:usb3="00000000" w:csb0="00000111" w:csb1="00000000"/>
  </w:font>
  <w:font w:name="Arial">
    <w:panose1 w:val="020B0604020202020204"/>
    <w:charset w:val="00"/>
    <w:family w:val="swiss"/>
    <w:pitch w:val="variable"/>
    <w:sig w:usb0="E0002AFF" w:usb1="C0007843" w:usb2="00000009" w:usb3="00000000" w:csb0="000001FF" w:csb1="00000000"/>
  </w:font>
  <w:font w:name="Interstate-Regular">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FuturaBold Ro">
    <w:panose1 w:val="00000400000000000000"/>
    <w:charset w:val="00"/>
    <w:family w:val="auto"/>
    <w:pitch w:val="variable"/>
    <w:sig w:usb0="800000AF" w:usb1="10000048" w:usb2="00000000" w:usb3="00000000" w:csb0="00000001" w:csb1="00000000"/>
  </w:font>
  <w:font w:name="Futura">
    <w:altName w:val="Lucida Sans Unicode"/>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BEA580" w14:textId="77777777" w:rsidR="009F1690" w:rsidRPr="00670E60" w:rsidRDefault="00522628" w:rsidP="00522628">
    <w:pPr>
      <w:pStyle w:val="Footer"/>
      <w:jc w:val="right"/>
      <w:rPr>
        <w:sz w:val="20"/>
        <w:szCs w:val="20"/>
      </w:rPr>
    </w:pPr>
    <w:r>
      <w:rPr>
        <w:noProof/>
        <w:lang w:val="en-GB" w:eastAsia="en-GB"/>
      </w:rPr>
      <w:drawing>
        <wp:anchor distT="0" distB="0" distL="114300" distR="114300" simplePos="0" relativeHeight="251660288" behindDoc="1" locked="0" layoutInCell="1" allowOverlap="1" wp14:anchorId="2E90C3DD" wp14:editId="02B6BB59">
          <wp:simplePos x="0" y="0"/>
          <wp:positionH relativeFrom="page">
            <wp:align>right</wp:align>
          </wp:positionH>
          <wp:positionV relativeFrom="paragraph">
            <wp:posOffset>220980</wp:posOffset>
          </wp:positionV>
          <wp:extent cx="7543165" cy="523875"/>
          <wp:effectExtent l="0" t="0" r="63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sidRPr="00670E60">
      <w:rPr>
        <w:rStyle w:val="PageNumber"/>
        <w:rFonts w:ascii="Futura Lt BT" w:hAnsi="Futura Lt BT"/>
        <w:color w:val="038E9A"/>
        <w:sz w:val="20"/>
        <w:szCs w:val="20"/>
      </w:rPr>
      <w:t xml:space="preserve">Page </w:t>
    </w:r>
    <w:r w:rsidR="005009B8" w:rsidRPr="00670E60">
      <w:rPr>
        <w:rStyle w:val="PageNumber"/>
        <w:rFonts w:ascii="Futura Lt BT" w:hAnsi="Futura Lt BT"/>
        <w:color w:val="038E9A"/>
        <w:sz w:val="20"/>
        <w:szCs w:val="20"/>
      </w:rPr>
      <w:fldChar w:fldCharType="begin"/>
    </w:r>
    <w:r w:rsidR="009F1690" w:rsidRPr="00670E60">
      <w:rPr>
        <w:rStyle w:val="PageNumber"/>
        <w:rFonts w:ascii="Futura Lt BT" w:hAnsi="Futura Lt BT"/>
        <w:color w:val="038E9A"/>
        <w:sz w:val="20"/>
        <w:szCs w:val="20"/>
      </w:rPr>
      <w:instrText xml:space="preserve"> PAGE </w:instrText>
    </w:r>
    <w:r w:rsidR="005009B8" w:rsidRPr="00670E60">
      <w:rPr>
        <w:rStyle w:val="PageNumber"/>
        <w:rFonts w:ascii="Futura Lt BT" w:hAnsi="Futura Lt BT"/>
        <w:color w:val="038E9A"/>
        <w:sz w:val="20"/>
        <w:szCs w:val="20"/>
      </w:rPr>
      <w:fldChar w:fldCharType="separate"/>
    </w:r>
    <w:r w:rsidR="00874699">
      <w:rPr>
        <w:rStyle w:val="PageNumber"/>
        <w:rFonts w:ascii="Futura Lt BT" w:hAnsi="Futura Lt BT"/>
        <w:noProof/>
        <w:color w:val="038E9A"/>
        <w:sz w:val="20"/>
        <w:szCs w:val="20"/>
      </w:rPr>
      <w:t>4</w:t>
    </w:r>
    <w:r w:rsidR="005009B8" w:rsidRPr="00670E60">
      <w:rPr>
        <w:rStyle w:val="PageNumber"/>
        <w:rFonts w:ascii="Futura Lt BT" w:hAnsi="Futura Lt BT"/>
        <w:color w:val="038E9A"/>
        <w:sz w:val="20"/>
        <w:szCs w:val="20"/>
      </w:rPr>
      <w:fldChar w:fldCharType="end"/>
    </w:r>
    <w:r w:rsidR="009F1690" w:rsidRPr="00670E60">
      <w:rPr>
        <w:rStyle w:val="PageNumber"/>
        <w:rFonts w:ascii="Futura Lt BT" w:hAnsi="Futura Lt BT"/>
        <w:color w:val="038E9A"/>
        <w:sz w:val="20"/>
        <w:szCs w:val="20"/>
      </w:rPr>
      <w:t>/</w:t>
    </w:r>
    <w:r w:rsidR="00251ED7">
      <w:rPr>
        <w:sz w:val="20"/>
        <w:szCs w:val="20"/>
      </w:rPr>
      <w:fldChar w:fldCharType="begin"/>
    </w:r>
    <w:r w:rsidR="00251ED7">
      <w:rPr>
        <w:sz w:val="20"/>
        <w:szCs w:val="20"/>
      </w:rPr>
      <w:instrText xml:space="preserve"> NUMPAGES  \* Arabic  \* MERGEFORMAT </w:instrText>
    </w:r>
    <w:r w:rsidR="00251ED7">
      <w:rPr>
        <w:sz w:val="20"/>
        <w:szCs w:val="20"/>
      </w:rPr>
      <w:fldChar w:fldCharType="separate"/>
    </w:r>
    <w:r w:rsidR="00874699">
      <w:rPr>
        <w:noProof/>
        <w:sz w:val="20"/>
        <w:szCs w:val="20"/>
      </w:rPr>
      <w:t>4</w:t>
    </w:r>
    <w:r w:rsidR="00251ED7">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19B2C" w14:textId="77777777" w:rsidR="009F1690" w:rsidRPr="00B47FC3" w:rsidRDefault="00522628" w:rsidP="00522628">
    <w:pPr>
      <w:pStyle w:val="Footer"/>
      <w:jc w:val="right"/>
    </w:pPr>
    <w:r>
      <w:rPr>
        <w:noProof/>
        <w:lang w:val="en-GB" w:eastAsia="en-GB"/>
      </w:rPr>
      <w:drawing>
        <wp:anchor distT="0" distB="0" distL="114300" distR="114300" simplePos="0" relativeHeight="251657215" behindDoc="1" locked="0" layoutInCell="1" allowOverlap="1" wp14:anchorId="063DA8B4" wp14:editId="067DA6B5">
          <wp:simplePos x="0" y="0"/>
          <wp:positionH relativeFrom="page">
            <wp:posOffset>0</wp:posOffset>
          </wp:positionH>
          <wp:positionV relativeFrom="paragraph">
            <wp:posOffset>125730</wp:posOffset>
          </wp:positionV>
          <wp:extent cx="7543165" cy="523875"/>
          <wp:effectExtent l="0" t="0" r="63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83" t="28640" r="17638" b="63099"/>
                  <a:stretch/>
                </pic:blipFill>
                <pic:spPr bwMode="auto">
                  <a:xfrm>
                    <a:off x="0" y="0"/>
                    <a:ext cx="7543165" cy="523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1690">
      <w:rPr>
        <w:rStyle w:val="PageNumber"/>
        <w:rFonts w:ascii="Futura Lt BT" w:hAnsi="Futura Lt BT"/>
        <w:color w:val="038E9A"/>
        <w:sz w:val="20"/>
      </w:rPr>
      <w:t xml:space="preserve">Page </w:t>
    </w:r>
    <w:r w:rsidR="005009B8" w:rsidRPr="00B47FC3">
      <w:rPr>
        <w:rStyle w:val="PageNumber"/>
        <w:rFonts w:ascii="Futura Lt BT" w:hAnsi="Futura Lt BT"/>
        <w:color w:val="038E9A"/>
        <w:sz w:val="20"/>
      </w:rPr>
      <w:fldChar w:fldCharType="begin"/>
    </w:r>
    <w:r w:rsidR="009F1690" w:rsidRPr="00B47FC3">
      <w:rPr>
        <w:rStyle w:val="PageNumber"/>
        <w:rFonts w:ascii="Futura Lt BT" w:hAnsi="Futura Lt BT"/>
        <w:color w:val="038E9A"/>
        <w:sz w:val="20"/>
      </w:rPr>
      <w:instrText xml:space="preserve"> PAGE </w:instrText>
    </w:r>
    <w:r w:rsidR="005009B8" w:rsidRPr="00B47FC3">
      <w:rPr>
        <w:rStyle w:val="PageNumber"/>
        <w:rFonts w:ascii="Futura Lt BT" w:hAnsi="Futura Lt BT"/>
        <w:color w:val="038E9A"/>
        <w:sz w:val="20"/>
      </w:rPr>
      <w:fldChar w:fldCharType="separate"/>
    </w:r>
    <w:r w:rsidR="00874699">
      <w:rPr>
        <w:rStyle w:val="PageNumber"/>
        <w:rFonts w:ascii="Futura Lt BT" w:hAnsi="Futura Lt BT"/>
        <w:noProof/>
        <w:color w:val="038E9A"/>
        <w:sz w:val="20"/>
      </w:rPr>
      <w:t>1</w:t>
    </w:r>
    <w:r w:rsidR="005009B8" w:rsidRPr="00B47FC3">
      <w:rPr>
        <w:rStyle w:val="PageNumber"/>
        <w:rFonts w:ascii="Futura Lt BT" w:hAnsi="Futura Lt BT"/>
        <w:color w:val="038E9A"/>
        <w:sz w:val="20"/>
      </w:rPr>
      <w:fldChar w:fldCharType="end"/>
    </w:r>
    <w:r w:rsidR="009F1690">
      <w:rPr>
        <w:rStyle w:val="PageNumber"/>
        <w:rFonts w:ascii="Futura Lt BT" w:hAnsi="Futura Lt BT"/>
        <w:color w:val="038E9A"/>
        <w:sz w:val="20"/>
      </w:rPr>
      <w:t>/</w:t>
    </w:r>
    <w:r w:rsidR="00251ED7">
      <w:rPr>
        <w:rStyle w:val="PageNumber"/>
        <w:rFonts w:ascii="Futura Lt BT" w:hAnsi="Futura Lt BT"/>
        <w:color w:val="038E9A"/>
        <w:sz w:val="20"/>
      </w:rPr>
      <w:fldChar w:fldCharType="begin"/>
    </w:r>
    <w:r w:rsidR="00251ED7">
      <w:rPr>
        <w:rStyle w:val="PageNumber"/>
        <w:rFonts w:ascii="Futura Lt BT" w:hAnsi="Futura Lt BT"/>
        <w:color w:val="038E9A"/>
        <w:sz w:val="20"/>
      </w:rPr>
      <w:instrText xml:space="preserve"> DOCPROPERTY  Pages  \* MERGEFORMAT </w:instrText>
    </w:r>
    <w:r w:rsidR="00251ED7">
      <w:rPr>
        <w:rStyle w:val="PageNumber"/>
        <w:rFonts w:ascii="Futura Lt BT" w:hAnsi="Futura Lt BT"/>
        <w:color w:val="038E9A"/>
        <w:sz w:val="20"/>
      </w:rPr>
      <w:fldChar w:fldCharType="separate"/>
    </w:r>
    <w:r w:rsidR="00874699">
      <w:rPr>
        <w:rStyle w:val="PageNumber"/>
        <w:rFonts w:ascii="Futura Lt BT" w:hAnsi="Futura Lt BT"/>
        <w:color w:val="038E9A"/>
        <w:sz w:val="20"/>
      </w:rPr>
      <w:t>4</w:t>
    </w:r>
    <w:r w:rsidR="00251ED7">
      <w:rPr>
        <w:rStyle w:val="PageNumber"/>
        <w:rFonts w:ascii="Futura Lt BT" w:hAnsi="Futura Lt BT"/>
        <w:color w:val="038E9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A9BD" w14:textId="77777777" w:rsidR="00251ED7" w:rsidRDefault="00251ED7">
      <w:r>
        <w:separator/>
      </w:r>
    </w:p>
    <w:p w14:paraId="4E6E8D61" w14:textId="77777777" w:rsidR="00251ED7" w:rsidRDefault="00251ED7"/>
  </w:footnote>
  <w:footnote w:type="continuationSeparator" w:id="0">
    <w:p w14:paraId="696F8A63" w14:textId="77777777" w:rsidR="00251ED7" w:rsidRDefault="00251ED7">
      <w:r>
        <w:continuationSeparator/>
      </w:r>
    </w:p>
    <w:p w14:paraId="771CD7F3" w14:textId="77777777" w:rsidR="00251ED7" w:rsidRDefault="00251E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EndnotesChar"/>
      </w:rPr>
      <w:alias w:val="Title"/>
      <w:tag w:val=""/>
      <w:id w:val="-1977128776"/>
      <w:dataBinding w:prefixMappings="xmlns:ns0='http://purl.org/dc/elements/1.1/' xmlns:ns1='http://schemas.openxmlformats.org/package/2006/metadata/core-properties' " w:xpath="/ns1:coreProperties[1]/ns0:title[1]" w:storeItemID="{6C3C8BC8-F283-45AE-878A-BAB7291924A1}"/>
      <w:text/>
    </w:sdtPr>
    <w:sdtEndPr>
      <w:rPr>
        <w:rStyle w:val="EndnotesChar"/>
      </w:rPr>
    </w:sdtEndPr>
    <w:sdtContent>
      <w:p w14:paraId="577141F2" w14:textId="74AEEBBD" w:rsidR="00F36BF2" w:rsidRDefault="008E4A26">
        <w:pPr>
          <w:pStyle w:val="Header"/>
          <w:rPr>
            <w:rStyle w:val="EndnotesChar"/>
          </w:rPr>
        </w:pPr>
        <w:r>
          <w:rPr>
            <w:rStyle w:val="EndnotesChar"/>
          </w:rPr>
          <w:t>Introducing Cycling into National Energy and Climate Plans</w:t>
        </w:r>
      </w:p>
    </w:sdtContent>
  </w:sdt>
  <w:p w14:paraId="2EFBD61A" w14:textId="77777777" w:rsidR="003F554F" w:rsidRPr="00F36BF2" w:rsidRDefault="003F554F" w:rsidP="003F554F">
    <w:pPr>
      <w:pStyle w:val="Header"/>
      <w:jc w:val="right"/>
      <w:rPr>
        <w:rStyle w:val="EndnotesChar"/>
      </w:rPr>
    </w:pPr>
    <w:r>
      <w:rPr>
        <w:rFonts w:ascii="Futura Lt BT" w:hAnsi="Futura Lt BT"/>
        <w:noProof/>
        <w:color w:val="808080" w:themeColor="background1" w:themeShade="80"/>
        <w:spacing w:val="2"/>
        <w:position w:val="1"/>
        <w:sz w:val="16"/>
        <w:szCs w:val="20"/>
        <w:lang w:eastAsia="en-GB"/>
      </w:rPr>
      <w:drawing>
        <wp:anchor distT="0" distB="0" distL="114300" distR="114300" simplePos="0" relativeHeight="251658240" behindDoc="0" locked="0" layoutInCell="1" allowOverlap="1" wp14:anchorId="51F5FE3D" wp14:editId="6527450C">
          <wp:simplePos x="0" y="0"/>
          <wp:positionH relativeFrom="column">
            <wp:posOffset>4685665</wp:posOffset>
          </wp:positionH>
          <wp:positionV relativeFrom="paragraph">
            <wp:posOffset>-205740</wp:posOffset>
          </wp:positionV>
          <wp:extent cx="1571625" cy="604520"/>
          <wp:effectExtent l="0" t="0" r="9525"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60452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7EF4" w14:textId="77777777" w:rsidR="003F554F" w:rsidRDefault="003F554F" w:rsidP="003F554F">
    <w:pPr>
      <w:pStyle w:val="Header"/>
      <w:jc w:val="right"/>
    </w:pPr>
    <w:r>
      <w:rPr>
        <w:noProof/>
        <w:lang w:eastAsia="en-GB"/>
      </w:rPr>
      <w:drawing>
        <wp:inline distT="0" distB="0" distL="0" distR="0" wp14:anchorId="373DF271" wp14:editId="7A30B1ED">
          <wp:extent cx="2080781" cy="80104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F logo - landscape -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321" cy="809721"/>
                  </a:xfrm>
                  <a:prstGeom prst="rect">
                    <a:avLst/>
                  </a:prstGeom>
                </pic:spPr>
              </pic:pic>
            </a:graphicData>
          </a:graphic>
        </wp:inline>
      </w:drawing>
    </w:r>
  </w:p>
  <w:p w14:paraId="6388FA88" w14:textId="77777777" w:rsidR="003F554F" w:rsidRDefault="003F55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6062F696"/>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33048688"/>
    <w:lvl w:ilvl="0">
      <w:start w:val="1"/>
      <w:numFmt w:val="decimal"/>
      <w:pStyle w:val="ListNumber"/>
      <w:lvlText w:val="%1."/>
      <w:lvlJc w:val="left"/>
      <w:pPr>
        <w:tabs>
          <w:tab w:val="num" w:pos="360"/>
        </w:tabs>
        <w:ind w:left="360" w:hanging="360"/>
      </w:pPr>
    </w:lvl>
  </w:abstractNum>
  <w:abstractNum w:abstractNumId="2" w15:restartNumberingAfterBreak="0">
    <w:nsid w:val="13391961"/>
    <w:multiLevelType w:val="hybridMultilevel"/>
    <w:tmpl w:val="A7C4B17E"/>
    <w:lvl w:ilvl="0" w:tplc="03FA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E96E09"/>
    <w:multiLevelType w:val="hybridMultilevel"/>
    <w:tmpl w:val="097ADAAA"/>
    <w:lvl w:ilvl="0" w:tplc="70A048E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D24341"/>
    <w:multiLevelType w:val="hybridMultilevel"/>
    <w:tmpl w:val="552E5396"/>
    <w:lvl w:ilvl="0" w:tplc="3FAAAFD6">
      <w:start w:val="2"/>
      <w:numFmt w:val="bullet"/>
      <w:lvlText w:val="-"/>
      <w:lvlJc w:val="left"/>
      <w:pPr>
        <w:ind w:left="1080" w:hanging="360"/>
      </w:pPr>
      <w:rPr>
        <w:rFonts w:ascii="Futura Lt BT" w:eastAsia="Times New Roman" w:hAnsi="Futura Lt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2272D45"/>
    <w:multiLevelType w:val="multilevel"/>
    <w:tmpl w:val="2818A80C"/>
    <w:lvl w:ilvl="0">
      <w:start w:val="1"/>
      <w:numFmt w:val="decimal"/>
      <w:pStyle w:val="Heading1"/>
      <w:lvlText w:val="%1.0"/>
      <w:lvlJc w:val="left"/>
      <w:pPr>
        <w:tabs>
          <w:tab w:val="num" w:pos="567"/>
        </w:tabs>
        <w:ind w:left="0" w:firstLine="0"/>
      </w:pPr>
      <w:rPr>
        <w:rFonts w:hint="default"/>
      </w:rPr>
    </w:lvl>
    <w:lvl w:ilvl="1">
      <w:start w:val="1"/>
      <w:numFmt w:val="decimal"/>
      <w:pStyle w:val="Heading2"/>
      <w:lvlText w:val="%1.%2"/>
      <w:lvlJc w:val="left"/>
      <w:pPr>
        <w:tabs>
          <w:tab w:val="num" w:pos="567"/>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AB2028C"/>
    <w:multiLevelType w:val="hybridMultilevel"/>
    <w:tmpl w:val="C3A884BE"/>
    <w:lvl w:ilvl="0" w:tplc="D8548D9C">
      <w:start w:val="1"/>
      <w:numFmt w:val="decimal"/>
      <w:suff w:val="space"/>
      <w:lvlText w:val="%1."/>
      <w:lvlJc w:val="left"/>
      <w:pPr>
        <w:ind w:left="0" w:firstLine="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12594"/>
    <w:multiLevelType w:val="hybridMultilevel"/>
    <w:tmpl w:val="CCAC6F86"/>
    <w:lvl w:ilvl="0" w:tplc="12B86BD2">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2215A"/>
    <w:multiLevelType w:val="hybridMultilevel"/>
    <w:tmpl w:val="E3AA8510"/>
    <w:lvl w:ilvl="0" w:tplc="12B86BD2">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F246BF"/>
    <w:multiLevelType w:val="hybridMultilevel"/>
    <w:tmpl w:val="AC86411C"/>
    <w:lvl w:ilvl="0" w:tplc="DA6291EC">
      <w:start w:val="2"/>
      <w:numFmt w:val="bullet"/>
      <w:lvlText w:val="-"/>
      <w:lvlJc w:val="left"/>
      <w:pPr>
        <w:ind w:left="1080" w:hanging="360"/>
      </w:pPr>
      <w:rPr>
        <w:rFonts w:ascii="Futura Lt BT" w:eastAsia="Times New Roman" w:hAnsi="Futura Lt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C277E2"/>
    <w:multiLevelType w:val="multilevel"/>
    <w:tmpl w:val="F834A412"/>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C7F60"/>
    <w:multiLevelType w:val="hybridMultilevel"/>
    <w:tmpl w:val="097ADAAA"/>
    <w:lvl w:ilvl="0" w:tplc="70A048E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4E6CDE"/>
    <w:multiLevelType w:val="hybridMultilevel"/>
    <w:tmpl w:val="C3A884BE"/>
    <w:lvl w:ilvl="0" w:tplc="D8548D9C">
      <w:start w:val="1"/>
      <w:numFmt w:val="decimal"/>
      <w:suff w:val="space"/>
      <w:lvlText w:val="%1."/>
      <w:lvlJc w:val="left"/>
      <w:pPr>
        <w:ind w:left="0" w:firstLine="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965A57"/>
    <w:multiLevelType w:val="hybridMultilevel"/>
    <w:tmpl w:val="D91ECE00"/>
    <w:lvl w:ilvl="0" w:tplc="D8548D9C">
      <w:start w:val="1"/>
      <w:numFmt w:val="decimal"/>
      <w:suff w:val="space"/>
      <w:lvlText w:val="%1."/>
      <w:lvlJc w:val="left"/>
      <w:pPr>
        <w:ind w:left="0" w:firstLine="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6369D"/>
    <w:multiLevelType w:val="hybridMultilevel"/>
    <w:tmpl w:val="42E4B8A4"/>
    <w:lvl w:ilvl="0" w:tplc="0B481628">
      <w:start w:val="4"/>
      <w:numFmt w:val="bullet"/>
      <w:lvlText w:val="-"/>
      <w:lvlJc w:val="left"/>
      <w:pPr>
        <w:ind w:left="1440" w:hanging="360"/>
      </w:pPr>
      <w:rPr>
        <w:rFonts w:ascii="Calibri" w:eastAsiaTheme="minorHAnsi" w:hAnsi="Calibri" w:cstheme="minorBid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C95488"/>
    <w:multiLevelType w:val="hybridMultilevel"/>
    <w:tmpl w:val="E9FAB612"/>
    <w:lvl w:ilvl="0" w:tplc="7FE6085C">
      <w:start w:val="1"/>
      <w:numFmt w:val="bullet"/>
      <w:pStyle w:val="Bulletlist"/>
      <w:lvlText w:val=""/>
      <w:lvlJc w:val="left"/>
      <w:pPr>
        <w:ind w:left="720" w:hanging="360"/>
      </w:pPr>
      <w:rPr>
        <w:rFonts w:ascii="Symbol" w:hAnsi="Symbol" w:hint="default"/>
        <w:color w:val="0092AA"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21446"/>
    <w:multiLevelType w:val="hybridMultilevel"/>
    <w:tmpl w:val="15522E08"/>
    <w:lvl w:ilvl="0" w:tplc="03FA007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2B5511"/>
    <w:multiLevelType w:val="singleLevel"/>
    <w:tmpl w:val="74A09970"/>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18" w15:restartNumberingAfterBreak="0">
    <w:nsid w:val="74B63EC1"/>
    <w:multiLevelType w:val="multilevel"/>
    <w:tmpl w:val="2EBEAD50"/>
    <w:styleLink w:val="111111"/>
    <w:lvl w:ilvl="0">
      <w:start w:val="1"/>
      <w:numFmt w:val="decimal"/>
      <w:lvlText w:val="%1.0"/>
      <w:lvlJc w:val="left"/>
      <w:pPr>
        <w:tabs>
          <w:tab w:val="num" w:pos="720"/>
        </w:tabs>
        <w:ind w:left="360" w:hanging="360"/>
      </w:pPr>
      <w:rPr>
        <w:rFonts w:ascii="Arial" w:hAnsi="Arial" w:hint="default"/>
        <w:b/>
        <w:color w:val="808080"/>
        <w:sz w:val="32"/>
      </w:rPr>
    </w:lvl>
    <w:lvl w:ilvl="1">
      <w:start w:val="1"/>
      <w:numFmt w:val="decimal"/>
      <w:lvlText w:val="%1.%2."/>
      <w:lvlJc w:val="left"/>
      <w:pPr>
        <w:tabs>
          <w:tab w:val="num" w:pos="1800"/>
        </w:tabs>
        <w:ind w:left="792" w:hanging="432"/>
      </w:pPr>
      <w:rPr>
        <w:rFonts w:ascii="Arial" w:hAnsi="Arial" w:hint="default"/>
        <w:color w:val="808080"/>
        <w:sz w:val="24"/>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num w:numId="1">
    <w:abstractNumId w:val="18"/>
  </w:num>
  <w:num w:numId="2">
    <w:abstractNumId w:val="0"/>
  </w:num>
  <w:num w:numId="3">
    <w:abstractNumId w:val="5"/>
  </w:num>
  <w:num w:numId="4">
    <w:abstractNumId w:val="1"/>
  </w:num>
  <w:num w:numId="5">
    <w:abstractNumId w:val="17"/>
  </w:num>
  <w:num w:numId="6">
    <w:abstractNumId w:val="10"/>
  </w:num>
  <w:num w:numId="7">
    <w:abstractNumId w:val="15"/>
  </w:num>
  <w:num w:numId="8">
    <w:abstractNumId w:val="13"/>
  </w:num>
  <w:num w:numId="9">
    <w:abstractNumId w:val="6"/>
  </w:num>
  <w:num w:numId="10">
    <w:abstractNumId w:val="12"/>
  </w:num>
  <w:num w:numId="11">
    <w:abstractNumId w:val="3"/>
  </w:num>
  <w:num w:numId="12">
    <w:abstractNumId w:val="11"/>
  </w:num>
  <w:num w:numId="13">
    <w:abstractNumId w:val="16"/>
  </w:num>
  <w:num w:numId="14">
    <w:abstractNumId w:val="2"/>
  </w:num>
  <w:num w:numId="15">
    <w:abstractNumId w:val="8"/>
  </w:num>
  <w:num w:numId="16">
    <w:abstractNumId w:val="7"/>
  </w:num>
  <w:num w:numId="17">
    <w:abstractNumId w:val="14"/>
  </w:num>
  <w:num w:numId="18">
    <w:abstractNumId w:val="4"/>
  </w:num>
  <w:num w:numId="1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D7"/>
    <w:rsid w:val="000000F7"/>
    <w:rsid w:val="0000335E"/>
    <w:rsid w:val="00005F6A"/>
    <w:rsid w:val="00012C09"/>
    <w:rsid w:val="00014569"/>
    <w:rsid w:val="000209F9"/>
    <w:rsid w:val="00021176"/>
    <w:rsid w:val="00021FDB"/>
    <w:rsid w:val="0002317B"/>
    <w:rsid w:val="0002705F"/>
    <w:rsid w:val="00034432"/>
    <w:rsid w:val="000359B5"/>
    <w:rsid w:val="00042750"/>
    <w:rsid w:val="00044A6A"/>
    <w:rsid w:val="000453B5"/>
    <w:rsid w:val="000460B8"/>
    <w:rsid w:val="000464E6"/>
    <w:rsid w:val="00051B98"/>
    <w:rsid w:val="0005514E"/>
    <w:rsid w:val="00060CFD"/>
    <w:rsid w:val="00065341"/>
    <w:rsid w:val="0006547B"/>
    <w:rsid w:val="000711A3"/>
    <w:rsid w:val="0007290F"/>
    <w:rsid w:val="00077D09"/>
    <w:rsid w:val="00081FB9"/>
    <w:rsid w:val="00083B73"/>
    <w:rsid w:val="00090773"/>
    <w:rsid w:val="0009477B"/>
    <w:rsid w:val="0009793C"/>
    <w:rsid w:val="000A24C3"/>
    <w:rsid w:val="000A3FAE"/>
    <w:rsid w:val="000A5253"/>
    <w:rsid w:val="000A63B4"/>
    <w:rsid w:val="000B2C0B"/>
    <w:rsid w:val="000B5C82"/>
    <w:rsid w:val="000C0929"/>
    <w:rsid w:val="000C28A6"/>
    <w:rsid w:val="000C3D9C"/>
    <w:rsid w:val="000C6033"/>
    <w:rsid w:val="000D1DD3"/>
    <w:rsid w:val="000E5286"/>
    <w:rsid w:val="000E557A"/>
    <w:rsid w:val="000E5AFB"/>
    <w:rsid w:val="000F298A"/>
    <w:rsid w:val="000F50AA"/>
    <w:rsid w:val="000F59BA"/>
    <w:rsid w:val="00103DA8"/>
    <w:rsid w:val="0010452E"/>
    <w:rsid w:val="001045EE"/>
    <w:rsid w:val="00117AEE"/>
    <w:rsid w:val="001210A6"/>
    <w:rsid w:val="001252F3"/>
    <w:rsid w:val="00127B2D"/>
    <w:rsid w:val="0013451B"/>
    <w:rsid w:val="0013471D"/>
    <w:rsid w:val="0013625E"/>
    <w:rsid w:val="00142466"/>
    <w:rsid w:val="00155B77"/>
    <w:rsid w:val="001619B3"/>
    <w:rsid w:val="001674B9"/>
    <w:rsid w:val="00174F8A"/>
    <w:rsid w:val="0018127C"/>
    <w:rsid w:val="0018129B"/>
    <w:rsid w:val="0018303C"/>
    <w:rsid w:val="001833F7"/>
    <w:rsid w:val="00185A97"/>
    <w:rsid w:val="001917EA"/>
    <w:rsid w:val="001A7CDC"/>
    <w:rsid w:val="001B0BE8"/>
    <w:rsid w:val="001B0FC7"/>
    <w:rsid w:val="001B3CA8"/>
    <w:rsid w:val="001B4EC7"/>
    <w:rsid w:val="001B50A8"/>
    <w:rsid w:val="001C1BDF"/>
    <w:rsid w:val="001C6BFD"/>
    <w:rsid w:val="001D0118"/>
    <w:rsid w:val="001D3000"/>
    <w:rsid w:val="001D568A"/>
    <w:rsid w:val="001D6FAA"/>
    <w:rsid w:val="001D7308"/>
    <w:rsid w:val="001E09CB"/>
    <w:rsid w:val="001E4B7D"/>
    <w:rsid w:val="001F0781"/>
    <w:rsid w:val="001F712A"/>
    <w:rsid w:val="0020206B"/>
    <w:rsid w:val="0020460B"/>
    <w:rsid w:val="00206C8A"/>
    <w:rsid w:val="00207354"/>
    <w:rsid w:val="002077C8"/>
    <w:rsid w:val="0021059A"/>
    <w:rsid w:val="00210A67"/>
    <w:rsid w:val="002128BF"/>
    <w:rsid w:val="00212ED7"/>
    <w:rsid w:val="002178D7"/>
    <w:rsid w:val="00221ED8"/>
    <w:rsid w:val="002260B7"/>
    <w:rsid w:val="00235F5D"/>
    <w:rsid w:val="00236380"/>
    <w:rsid w:val="00250F60"/>
    <w:rsid w:val="00251ED7"/>
    <w:rsid w:val="002552E0"/>
    <w:rsid w:val="0026028D"/>
    <w:rsid w:val="002605C7"/>
    <w:rsid w:val="00263782"/>
    <w:rsid w:val="00271E19"/>
    <w:rsid w:val="00272DCC"/>
    <w:rsid w:val="00276954"/>
    <w:rsid w:val="002813E7"/>
    <w:rsid w:val="0028295C"/>
    <w:rsid w:val="00282C8E"/>
    <w:rsid w:val="002830A5"/>
    <w:rsid w:val="00286380"/>
    <w:rsid w:val="0029023A"/>
    <w:rsid w:val="002927D0"/>
    <w:rsid w:val="002934A5"/>
    <w:rsid w:val="002979AD"/>
    <w:rsid w:val="002A73A6"/>
    <w:rsid w:val="002B2CD8"/>
    <w:rsid w:val="002C07D6"/>
    <w:rsid w:val="002C19DD"/>
    <w:rsid w:val="002C1F08"/>
    <w:rsid w:val="002C77B8"/>
    <w:rsid w:val="002D4DC1"/>
    <w:rsid w:val="002E02BB"/>
    <w:rsid w:val="002E74EF"/>
    <w:rsid w:val="002F4C86"/>
    <w:rsid w:val="00305F59"/>
    <w:rsid w:val="00307E93"/>
    <w:rsid w:val="003130B7"/>
    <w:rsid w:val="00315505"/>
    <w:rsid w:val="00317D43"/>
    <w:rsid w:val="00320936"/>
    <w:rsid w:val="00320E62"/>
    <w:rsid w:val="00334AAA"/>
    <w:rsid w:val="00340E4A"/>
    <w:rsid w:val="00343E13"/>
    <w:rsid w:val="003472D4"/>
    <w:rsid w:val="0035049B"/>
    <w:rsid w:val="00351205"/>
    <w:rsid w:val="00351309"/>
    <w:rsid w:val="00355F85"/>
    <w:rsid w:val="003605AD"/>
    <w:rsid w:val="00360ADE"/>
    <w:rsid w:val="00364658"/>
    <w:rsid w:val="003677BE"/>
    <w:rsid w:val="00367CD2"/>
    <w:rsid w:val="00370032"/>
    <w:rsid w:val="00370FBC"/>
    <w:rsid w:val="00371501"/>
    <w:rsid w:val="00376BAD"/>
    <w:rsid w:val="00377863"/>
    <w:rsid w:val="003807EB"/>
    <w:rsid w:val="00384E0D"/>
    <w:rsid w:val="003869EC"/>
    <w:rsid w:val="00386FAF"/>
    <w:rsid w:val="003878E1"/>
    <w:rsid w:val="003917AA"/>
    <w:rsid w:val="00396773"/>
    <w:rsid w:val="00396EC3"/>
    <w:rsid w:val="003A3456"/>
    <w:rsid w:val="003A3DA4"/>
    <w:rsid w:val="003A6B09"/>
    <w:rsid w:val="003A7D90"/>
    <w:rsid w:val="003B083C"/>
    <w:rsid w:val="003B0D29"/>
    <w:rsid w:val="003B19E8"/>
    <w:rsid w:val="003B21E8"/>
    <w:rsid w:val="003B2FA8"/>
    <w:rsid w:val="003B30D1"/>
    <w:rsid w:val="003B3B68"/>
    <w:rsid w:val="003B3EDF"/>
    <w:rsid w:val="003B76C4"/>
    <w:rsid w:val="003B7DFB"/>
    <w:rsid w:val="003C2F27"/>
    <w:rsid w:val="003C3B40"/>
    <w:rsid w:val="003D0824"/>
    <w:rsid w:val="003D1856"/>
    <w:rsid w:val="003D7A50"/>
    <w:rsid w:val="003E07E4"/>
    <w:rsid w:val="003E1435"/>
    <w:rsid w:val="003E3E25"/>
    <w:rsid w:val="003E3F4F"/>
    <w:rsid w:val="003E5495"/>
    <w:rsid w:val="003E5F7C"/>
    <w:rsid w:val="003E6951"/>
    <w:rsid w:val="003F554F"/>
    <w:rsid w:val="003F6375"/>
    <w:rsid w:val="003F6F9C"/>
    <w:rsid w:val="003F7CDD"/>
    <w:rsid w:val="003F7E12"/>
    <w:rsid w:val="003F7E14"/>
    <w:rsid w:val="00403983"/>
    <w:rsid w:val="00405770"/>
    <w:rsid w:val="004066B0"/>
    <w:rsid w:val="00412289"/>
    <w:rsid w:val="00414C5C"/>
    <w:rsid w:val="0041521A"/>
    <w:rsid w:val="00416083"/>
    <w:rsid w:val="00420ED6"/>
    <w:rsid w:val="00422468"/>
    <w:rsid w:val="00432984"/>
    <w:rsid w:val="00433797"/>
    <w:rsid w:val="00436306"/>
    <w:rsid w:val="004365B6"/>
    <w:rsid w:val="00436716"/>
    <w:rsid w:val="00436A6C"/>
    <w:rsid w:val="00440EF9"/>
    <w:rsid w:val="00451F16"/>
    <w:rsid w:val="00463145"/>
    <w:rsid w:val="004639FB"/>
    <w:rsid w:val="004659E1"/>
    <w:rsid w:val="0046623C"/>
    <w:rsid w:val="004664B5"/>
    <w:rsid w:val="00470CFC"/>
    <w:rsid w:val="00474DE9"/>
    <w:rsid w:val="00477647"/>
    <w:rsid w:val="00481B58"/>
    <w:rsid w:val="004845E5"/>
    <w:rsid w:val="0049059A"/>
    <w:rsid w:val="00497492"/>
    <w:rsid w:val="004A2010"/>
    <w:rsid w:val="004A3F03"/>
    <w:rsid w:val="004B0EDA"/>
    <w:rsid w:val="004B2A7F"/>
    <w:rsid w:val="004B3002"/>
    <w:rsid w:val="004B3642"/>
    <w:rsid w:val="004B7172"/>
    <w:rsid w:val="004B7FBE"/>
    <w:rsid w:val="004C4075"/>
    <w:rsid w:val="004D2A74"/>
    <w:rsid w:val="004D5867"/>
    <w:rsid w:val="004D58F6"/>
    <w:rsid w:val="004E1C9F"/>
    <w:rsid w:val="004E6C89"/>
    <w:rsid w:val="004F143F"/>
    <w:rsid w:val="004F4EE4"/>
    <w:rsid w:val="004F54D4"/>
    <w:rsid w:val="005009B8"/>
    <w:rsid w:val="0050118B"/>
    <w:rsid w:val="00502360"/>
    <w:rsid w:val="005023BD"/>
    <w:rsid w:val="00507F13"/>
    <w:rsid w:val="00511D2A"/>
    <w:rsid w:val="00515FA3"/>
    <w:rsid w:val="00517155"/>
    <w:rsid w:val="00520268"/>
    <w:rsid w:val="00522628"/>
    <w:rsid w:val="00523B79"/>
    <w:rsid w:val="00525D30"/>
    <w:rsid w:val="00530908"/>
    <w:rsid w:val="00542DEE"/>
    <w:rsid w:val="005478E1"/>
    <w:rsid w:val="00554D2C"/>
    <w:rsid w:val="00556BC9"/>
    <w:rsid w:val="00561E1A"/>
    <w:rsid w:val="005739D8"/>
    <w:rsid w:val="00574628"/>
    <w:rsid w:val="00576D83"/>
    <w:rsid w:val="00581B15"/>
    <w:rsid w:val="00583ABA"/>
    <w:rsid w:val="005857A6"/>
    <w:rsid w:val="00591602"/>
    <w:rsid w:val="005963BF"/>
    <w:rsid w:val="00596789"/>
    <w:rsid w:val="00596F04"/>
    <w:rsid w:val="005A061D"/>
    <w:rsid w:val="005A0889"/>
    <w:rsid w:val="005A61B0"/>
    <w:rsid w:val="005B0E0D"/>
    <w:rsid w:val="005B1376"/>
    <w:rsid w:val="005B1468"/>
    <w:rsid w:val="005B6706"/>
    <w:rsid w:val="005C4653"/>
    <w:rsid w:val="005C6DBD"/>
    <w:rsid w:val="005D1F52"/>
    <w:rsid w:val="005D3921"/>
    <w:rsid w:val="005D772C"/>
    <w:rsid w:val="005E4B1F"/>
    <w:rsid w:val="005F0223"/>
    <w:rsid w:val="005F47AB"/>
    <w:rsid w:val="006131F4"/>
    <w:rsid w:val="00615266"/>
    <w:rsid w:val="00623265"/>
    <w:rsid w:val="00623B9F"/>
    <w:rsid w:val="00624BED"/>
    <w:rsid w:val="006268C9"/>
    <w:rsid w:val="0063086F"/>
    <w:rsid w:val="00630A25"/>
    <w:rsid w:val="00631866"/>
    <w:rsid w:val="006347D6"/>
    <w:rsid w:val="006355AA"/>
    <w:rsid w:val="006409BD"/>
    <w:rsid w:val="006427C4"/>
    <w:rsid w:val="00644623"/>
    <w:rsid w:val="006475CB"/>
    <w:rsid w:val="006500C5"/>
    <w:rsid w:val="00656758"/>
    <w:rsid w:val="00656A78"/>
    <w:rsid w:val="006611DA"/>
    <w:rsid w:val="00661505"/>
    <w:rsid w:val="00670E60"/>
    <w:rsid w:val="00672D53"/>
    <w:rsid w:val="0068415E"/>
    <w:rsid w:val="00685040"/>
    <w:rsid w:val="0068564B"/>
    <w:rsid w:val="00696450"/>
    <w:rsid w:val="006A28A8"/>
    <w:rsid w:val="006A4A69"/>
    <w:rsid w:val="006A64E1"/>
    <w:rsid w:val="006A6C31"/>
    <w:rsid w:val="006A6C6B"/>
    <w:rsid w:val="006A729F"/>
    <w:rsid w:val="006B0578"/>
    <w:rsid w:val="006B2457"/>
    <w:rsid w:val="006C16A9"/>
    <w:rsid w:val="006C2E44"/>
    <w:rsid w:val="006C3738"/>
    <w:rsid w:val="006C4FA0"/>
    <w:rsid w:val="006D3E9A"/>
    <w:rsid w:val="006E0FC2"/>
    <w:rsid w:val="006E22B7"/>
    <w:rsid w:val="006E2A73"/>
    <w:rsid w:val="006E3841"/>
    <w:rsid w:val="006F174C"/>
    <w:rsid w:val="006F3192"/>
    <w:rsid w:val="006F4026"/>
    <w:rsid w:val="006F6B5C"/>
    <w:rsid w:val="006F6F0A"/>
    <w:rsid w:val="0070617F"/>
    <w:rsid w:val="00707EEE"/>
    <w:rsid w:val="00712100"/>
    <w:rsid w:val="00713115"/>
    <w:rsid w:val="00714C5B"/>
    <w:rsid w:val="007162D1"/>
    <w:rsid w:val="007208C8"/>
    <w:rsid w:val="0072310F"/>
    <w:rsid w:val="00724F71"/>
    <w:rsid w:val="0073391C"/>
    <w:rsid w:val="00737AD1"/>
    <w:rsid w:val="00743EB7"/>
    <w:rsid w:val="00745DE2"/>
    <w:rsid w:val="00746699"/>
    <w:rsid w:val="007479BA"/>
    <w:rsid w:val="00752BD4"/>
    <w:rsid w:val="00753361"/>
    <w:rsid w:val="0075653C"/>
    <w:rsid w:val="0076252A"/>
    <w:rsid w:val="00763814"/>
    <w:rsid w:val="0077060F"/>
    <w:rsid w:val="00775574"/>
    <w:rsid w:val="00776F35"/>
    <w:rsid w:val="007771D3"/>
    <w:rsid w:val="00777238"/>
    <w:rsid w:val="00790BEC"/>
    <w:rsid w:val="00790D5D"/>
    <w:rsid w:val="00797A64"/>
    <w:rsid w:val="007A26FA"/>
    <w:rsid w:val="007A6D67"/>
    <w:rsid w:val="007B35AB"/>
    <w:rsid w:val="007B73DD"/>
    <w:rsid w:val="007C3FDB"/>
    <w:rsid w:val="007C6C18"/>
    <w:rsid w:val="007D380F"/>
    <w:rsid w:val="007D49A7"/>
    <w:rsid w:val="007E1417"/>
    <w:rsid w:val="007F03C8"/>
    <w:rsid w:val="0080134D"/>
    <w:rsid w:val="0080197A"/>
    <w:rsid w:val="00802FB1"/>
    <w:rsid w:val="0080579C"/>
    <w:rsid w:val="00815987"/>
    <w:rsid w:val="00815E2B"/>
    <w:rsid w:val="00823873"/>
    <w:rsid w:val="00826DB8"/>
    <w:rsid w:val="00827A06"/>
    <w:rsid w:val="0083395A"/>
    <w:rsid w:val="00844682"/>
    <w:rsid w:val="00847166"/>
    <w:rsid w:val="008517E2"/>
    <w:rsid w:val="00853BAA"/>
    <w:rsid w:val="00860609"/>
    <w:rsid w:val="0086569B"/>
    <w:rsid w:val="00867421"/>
    <w:rsid w:val="00870D57"/>
    <w:rsid w:val="00873E50"/>
    <w:rsid w:val="00874699"/>
    <w:rsid w:val="008758E3"/>
    <w:rsid w:val="0087776F"/>
    <w:rsid w:val="00880CAF"/>
    <w:rsid w:val="00882164"/>
    <w:rsid w:val="0088220F"/>
    <w:rsid w:val="00884C45"/>
    <w:rsid w:val="00894A43"/>
    <w:rsid w:val="00895A9D"/>
    <w:rsid w:val="00896530"/>
    <w:rsid w:val="008970D3"/>
    <w:rsid w:val="008A2C06"/>
    <w:rsid w:val="008A4970"/>
    <w:rsid w:val="008B1EB4"/>
    <w:rsid w:val="008B2BB2"/>
    <w:rsid w:val="008B6323"/>
    <w:rsid w:val="008B6E8F"/>
    <w:rsid w:val="008D12AE"/>
    <w:rsid w:val="008D13FC"/>
    <w:rsid w:val="008D2842"/>
    <w:rsid w:val="008D4766"/>
    <w:rsid w:val="008E1036"/>
    <w:rsid w:val="008E4A26"/>
    <w:rsid w:val="008E4BF6"/>
    <w:rsid w:val="0090147A"/>
    <w:rsid w:val="00902646"/>
    <w:rsid w:val="00914F16"/>
    <w:rsid w:val="009159FD"/>
    <w:rsid w:val="009173E7"/>
    <w:rsid w:val="0092211D"/>
    <w:rsid w:val="0092512F"/>
    <w:rsid w:val="00931781"/>
    <w:rsid w:val="0093210A"/>
    <w:rsid w:val="00936E7C"/>
    <w:rsid w:val="00937546"/>
    <w:rsid w:val="0094066A"/>
    <w:rsid w:val="00943D9C"/>
    <w:rsid w:val="0094799C"/>
    <w:rsid w:val="00950ACF"/>
    <w:rsid w:val="00950B91"/>
    <w:rsid w:val="0095292F"/>
    <w:rsid w:val="0095402D"/>
    <w:rsid w:val="00955C2D"/>
    <w:rsid w:val="00955E44"/>
    <w:rsid w:val="00961540"/>
    <w:rsid w:val="00961D91"/>
    <w:rsid w:val="00963275"/>
    <w:rsid w:val="00964FA9"/>
    <w:rsid w:val="00977FDA"/>
    <w:rsid w:val="009821D7"/>
    <w:rsid w:val="00990443"/>
    <w:rsid w:val="00991811"/>
    <w:rsid w:val="00997228"/>
    <w:rsid w:val="009A5188"/>
    <w:rsid w:val="009A66C6"/>
    <w:rsid w:val="009B0209"/>
    <w:rsid w:val="009B1AEC"/>
    <w:rsid w:val="009B33BE"/>
    <w:rsid w:val="009B3550"/>
    <w:rsid w:val="009B36EB"/>
    <w:rsid w:val="009B4EF7"/>
    <w:rsid w:val="009B4FFD"/>
    <w:rsid w:val="009B6136"/>
    <w:rsid w:val="009C40A4"/>
    <w:rsid w:val="009C5FB1"/>
    <w:rsid w:val="009C716D"/>
    <w:rsid w:val="009C743E"/>
    <w:rsid w:val="009C7884"/>
    <w:rsid w:val="009E3BFF"/>
    <w:rsid w:val="009E7320"/>
    <w:rsid w:val="009F1690"/>
    <w:rsid w:val="009F344C"/>
    <w:rsid w:val="009F6C15"/>
    <w:rsid w:val="00A02132"/>
    <w:rsid w:val="00A0388B"/>
    <w:rsid w:val="00A04448"/>
    <w:rsid w:val="00A06FB8"/>
    <w:rsid w:val="00A07D32"/>
    <w:rsid w:val="00A1256B"/>
    <w:rsid w:val="00A1558C"/>
    <w:rsid w:val="00A161BE"/>
    <w:rsid w:val="00A20C4F"/>
    <w:rsid w:val="00A2153C"/>
    <w:rsid w:val="00A2399D"/>
    <w:rsid w:val="00A24DE6"/>
    <w:rsid w:val="00A2726D"/>
    <w:rsid w:val="00A34327"/>
    <w:rsid w:val="00A44F37"/>
    <w:rsid w:val="00A45663"/>
    <w:rsid w:val="00A50C0E"/>
    <w:rsid w:val="00A564F4"/>
    <w:rsid w:val="00A636D5"/>
    <w:rsid w:val="00A7255F"/>
    <w:rsid w:val="00A7323A"/>
    <w:rsid w:val="00A746CC"/>
    <w:rsid w:val="00A75EFC"/>
    <w:rsid w:val="00A76CDC"/>
    <w:rsid w:val="00A76FE8"/>
    <w:rsid w:val="00A835DF"/>
    <w:rsid w:val="00A84E8A"/>
    <w:rsid w:val="00A906F7"/>
    <w:rsid w:val="00A94D86"/>
    <w:rsid w:val="00AB388A"/>
    <w:rsid w:val="00AB6E52"/>
    <w:rsid w:val="00AC2BA5"/>
    <w:rsid w:val="00AD1F1E"/>
    <w:rsid w:val="00AD2FF0"/>
    <w:rsid w:val="00AD3D1D"/>
    <w:rsid w:val="00AD4EA6"/>
    <w:rsid w:val="00AD5270"/>
    <w:rsid w:val="00AE23F1"/>
    <w:rsid w:val="00AE26AE"/>
    <w:rsid w:val="00AF24B9"/>
    <w:rsid w:val="00AF383C"/>
    <w:rsid w:val="00B015DB"/>
    <w:rsid w:val="00B0238A"/>
    <w:rsid w:val="00B05575"/>
    <w:rsid w:val="00B10D16"/>
    <w:rsid w:val="00B119FD"/>
    <w:rsid w:val="00B13BD2"/>
    <w:rsid w:val="00B16BBD"/>
    <w:rsid w:val="00B17A75"/>
    <w:rsid w:val="00B17D9F"/>
    <w:rsid w:val="00B21907"/>
    <w:rsid w:val="00B225F0"/>
    <w:rsid w:val="00B25FF7"/>
    <w:rsid w:val="00B26D4E"/>
    <w:rsid w:val="00B3095B"/>
    <w:rsid w:val="00B32B3D"/>
    <w:rsid w:val="00B36B12"/>
    <w:rsid w:val="00B37826"/>
    <w:rsid w:val="00B47FC3"/>
    <w:rsid w:val="00B5205F"/>
    <w:rsid w:val="00B53BC2"/>
    <w:rsid w:val="00B5580B"/>
    <w:rsid w:val="00B57861"/>
    <w:rsid w:val="00B64406"/>
    <w:rsid w:val="00B647CD"/>
    <w:rsid w:val="00B65DCD"/>
    <w:rsid w:val="00B65DF6"/>
    <w:rsid w:val="00B67CD4"/>
    <w:rsid w:val="00B724CF"/>
    <w:rsid w:val="00B72883"/>
    <w:rsid w:val="00B72B25"/>
    <w:rsid w:val="00B72D22"/>
    <w:rsid w:val="00B76FF8"/>
    <w:rsid w:val="00B77635"/>
    <w:rsid w:val="00B836E2"/>
    <w:rsid w:val="00B905AA"/>
    <w:rsid w:val="00B91A17"/>
    <w:rsid w:val="00B92426"/>
    <w:rsid w:val="00BA3EDD"/>
    <w:rsid w:val="00BA7773"/>
    <w:rsid w:val="00BB4DB2"/>
    <w:rsid w:val="00BB59BA"/>
    <w:rsid w:val="00BC053B"/>
    <w:rsid w:val="00BC1C3F"/>
    <w:rsid w:val="00BC3320"/>
    <w:rsid w:val="00BC4622"/>
    <w:rsid w:val="00BC7DD9"/>
    <w:rsid w:val="00BD04D0"/>
    <w:rsid w:val="00BD3504"/>
    <w:rsid w:val="00BD4C6C"/>
    <w:rsid w:val="00BE077C"/>
    <w:rsid w:val="00BE6B8F"/>
    <w:rsid w:val="00BF3D76"/>
    <w:rsid w:val="00BF3D9E"/>
    <w:rsid w:val="00BF4D93"/>
    <w:rsid w:val="00C00E96"/>
    <w:rsid w:val="00C028A5"/>
    <w:rsid w:val="00C042B2"/>
    <w:rsid w:val="00C12D06"/>
    <w:rsid w:val="00C139D0"/>
    <w:rsid w:val="00C21AF3"/>
    <w:rsid w:val="00C26F89"/>
    <w:rsid w:val="00C2720B"/>
    <w:rsid w:val="00C3393F"/>
    <w:rsid w:val="00C45B52"/>
    <w:rsid w:val="00C47197"/>
    <w:rsid w:val="00C51876"/>
    <w:rsid w:val="00C53B1F"/>
    <w:rsid w:val="00C54304"/>
    <w:rsid w:val="00C546C6"/>
    <w:rsid w:val="00C54878"/>
    <w:rsid w:val="00C557E5"/>
    <w:rsid w:val="00C61DFB"/>
    <w:rsid w:val="00C62D03"/>
    <w:rsid w:val="00C63436"/>
    <w:rsid w:val="00C704DA"/>
    <w:rsid w:val="00C70FB0"/>
    <w:rsid w:val="00C74081"/>
    <w:rsid w:val="00C80126"/>
    <w:rsid w:val="00C81AAD"/>
    <w:rsid w:val="00C92D2C"/>
    <w:rsid w:val="00C93CFE"/>
    <w:rsid w:val="00C96C7D"/>
    <w:rsid w:val="00CA0948"/>
    <w:rsid w:val="00CA50DB"/>
    <w:rsid w:val="00CA69DA"/>
    <w:rsid w:val="00CA6F12"/>
    <w:rsid w:val="00CA73D8"/>
    <w:rsid w:val="00CB5021"/>
    <w:rsid w:val="00CB5614"/>
    <w:rsid w:val="00CB572B"/>
    <w:rsid w:val="00CB668E"/>
    <w:rsid w:val="00CC02EB"/>
    <w:rsid w:val="00CE20F7"/>
    <w:rsid w:val="00CE2FEC"/>
    <w:rsid w:val="00CF1192"/>
    <w:rsid w:val="00CF2C71"/>
    <w:rsid w:val="00D00320"/>
    <w:rsid w:val="00D04571"/>
    <w:rsid w:val="00D059E0"/>
    <w:rsid w:val="00D06EE9"/>
    <w:rsid w:val="00D127DA"/>
    <w:rsid w:val="00D24FAD"/>
    <w:rsid w:val="00D261BE"/>
    <w:rsid w:val="00D26D8C"/>
    <w:rsid w:val="00D27463"/>
    <w:rsid w:val="00D3351E"/>
    <w:rsid w:val="00D347B1"/>
    <w:rsid w:val="00D34A80"/>
    <w:rsid w:val="00D36385"/>
    <w:rsid w:val="00D410FD"/>
    <w:rsid w:val="00D546BF"/>
    <w:rsid w:val="00D616CF"/>
    <w:rsid w:val="00D64F7C"/>
    <w:rsid w:val="00D67143"/>
    <w:rsid w:val="00D77EF9"/>
    <w:rsid w:val="00D82A4C"/>
    <w:rsid w:val="00D83151"/>
    <w:rsid w:val="00D83967"/>
    <w:rsid w:val="00D84D76"/>
    <w:rsid w:val="00D86976"/>
    <w:rsid w:val="00D91073"/>
    <w:rsid w:val="00D91724"/>
    <w:rsid w:val="00DA01D5"/>
    <w:rsid w:val="00DA0B7F"/>
    <w:rsid w:val="00DB768B"/>
    <w:rsid w:val="00DC0F1F"/>
    <w:rsid w:val="00DC2D38"/>
    <w:rsid w:val="00DC34E2"/>
    <w:rsid w:val="00DD0C32"/>
    <w:rsid w:val="00DD59FD"/>
    <w:rsid w:val="00DD68B5"/>
    <w:rsid w:val="00DE1A97"/>
    <w:rsid w:val="00DE5C76"/>
    <w:rsid w:val="00DF14D6"/>
    <w:rsid w:val="00E01BEE"/>
    <w:rsid w:val="00E1137E"/>
    <w:rsid w:val="00E20245"/>
    <w:rsid w:val="00E225E3"/>
    <w:rsid w:val="00E27AC3"/>
    <w:rsid w:val="00E36A00"/>
    <w:rsid w:val="00E377F2"/>
    <w:rsid w:val="00E43BE8"/>
    <w:rsid w:val="00E50C6F"/>
    <w:rsid w:val="00E52B7F"/>
    <w:rsid w:val="00E53259"/>
    <w:rsid w:val="00E54B71"/>
    <w:rsid w:val="00E54FE8"/>
    <w:rsid w:val="00E55BE3"/>
    <w:rsid w:val="00E561E5"/>
    <w:rsid w:val="00E6179A"/>
    <w:rsid w:val="00E61D8D"/>
    <w:rsid w:val="00E6667E"/>
    <w:rsid w:val="00E6722F"/>
    <w:rsid w:val="00E705BC"/>
    <w:rsid w:val="00E76C4B"/>
    <w:rsid w:val="00E772EE"/>
    <w:rsid w:val="00E828A5"/>
    <w:rsid w:val="00E8432C"/>
    <w:rsid w:val="00E85458"/>
    <w:rsid w:val="00E85707"/>
    <w:rsid w:val="00E90915"/>
    <w:rsid w:val="00E91667"/>
    <w:rsid w:val="00E93173"/>
    <w:rsid w:val="00E952F0"/>
    <w:rsid w:val="00E96D53"/>
    <w:rsid w:val="00E975E5"/>
    <w:rsid w:val="00EA178E"/>
    <w:rsid w:val="00EA29E4"/>
    <w:rsid w:val="00EA3F74"/>
    <w:rsid w:val="00EA4A86"/>
    <w:rsid w:val="00EB4C9C"/>
    <w:rsid w:val="00EB59CE"/>
    <w:rsid w:val="00EB7192"/>
    <w:rsid w:val="00EC17DD"/>
    <w:rsid w:val="00EC4614"/>
    <w:rsid w:val="00ED0A23"/>
    <w:rsid w:val="00ED1922"/>
    <w:rsid w:val="00ED2D30"/>
    <w:rsid w:val="00ED3C70"/>
    <w:rsid w:val="00ED4D2D"/>
    <w:rsid w:val="00ED762F"/>
    <w:rsid w:val="00EE0D32"/>
    <w:rsid w:val="00EE3D58"/>
    <w:rsid w:val="00EE7BA8"/>
    <w:rsid w:val="00EF1F4D"/>
    <w:rsid w:val="00EF5567"/>
    <w:rsid w:val="00F014D8"/>
    <w:rsid w:val="00F02DED"/>
    <w:rsid w:val="00F144F7"/>
    <w:rsid w:val="00F17B30"/>
    <w:rsid w:val="00F24E04"/>
    <w:rsid w:val="00F267E2"/>
    <w:rsid w:val="00F279CA"/>
    <w:rsid w:val="00F27A80"/>
    <w:rsid w:val="00F30B09"/>
    <w:rsid w:val="00F36BF2"/>
    <w:rsid w:val="00F36F8F"/>
    <w:rsid w:val="00F56700"/>
    <w:rsid w:val="00F615C5"/>
    <w:rsid w:val="00F625A9"/>
    <w:rsid w:val="00F636D7"/>
    <w:rsid w:val="00F67DF5"/>
    <w:rsid w:val="00F70486"/>
    <w:rsid w:val="00F76279"/>
    <w:rsid w:val="00F76CD2"/>
    <w:rsid w:val="00F83B0D"/>
    <w:rsid w:val="00F84147"/>
    <w:rsid w:val="00F860E6"/>
    <w:rsid w:val="00F86690"/>
    <w:rsid w:val="00F905A9"/>
    <w:rsid w:val="00F92B48"/>
    <w:rsid w:val="00F94113"/>
    <w:rsid w:val="00F9484C"/>
    <w:rsid w:val="00F94F14"/>
    <w:rsid w:val="00F952E9"/>
    <w:rsid w:val="00FA3677"/>
    <w:rsid w:val="00FA518F"/>
    <w:rsid w:val="00FA6BA7"/>
    <w:rsid w:val="00FA7962"/>
    <w:rsid w:val="00FB3E6D"/>
    <w:rsid w:val="00FB5914"/>
    <w:rsid w:val="00FB654F"/>
    <w:rsid w:val="00FB7C1C"/>
    <w:rsid w:val="00FC2929"/>
    <w:rsid w:val="00FC2D86"/>
    <w:rsid w:val="00FC5233"/>
    <w:rsid w:val="00FC5BB9"/>
    <w:rsid w:val="00FD3CB5"/>
    <w:rsid w:val="00FD435C"/>
    <w:rsid w:val="00FD7B0E"/>
    <w:rsid w:val="00FE1991"/>
    <w:rsid w:val="00FE4488"/>
    <w:rsid w:val="00FE5092"/>
    <w:rsid w:val="00FF007A"/>
    <w:rsid w:val="00FF2A0E"/>
    <w:rsid w:val="00FF5CFB"/>
    <w:rsid w:val="00FF652E"/>
    <w:rsid w:val="00FF7F7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06BA939B"/>
  <w15:docId w15:val="{F257727B-D78A-4CE3-AE09-30CAEFB61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F14D6"/>
    <w:rPr>
      <w:rFonts w:ascii="Arial" w:hAnsi="Arial"/>
      <w:color w:val="333333"/>
      <w:sz w:val="18"/>
      <w:szCs w:val="18"/>
      <w:lang w:val="en-GB"/>
    </w:rPr>
  </w:style>
  <w:style w:type="paragraph" w:styleId="Heading1">
    <w:name w:val="heading 1"/>
    <w:basedOn w:val="Normal"/>
    <w:next w:val="Normal"/>
    <w:rsid w:val="003677BE"/>
    <w:pPr>
      <w:keepNext/>
      <w:numPr>
        <w:numId w:val="3"/>
      </w:numPr>
      <w:spacing w:before="240" w:after="240"/>
      <w:outlineLvl w:val="0"/>
    </w:pPr>
    <w:rPr>
      <w:rFonts w:cs="Arial"/>
      <w:b/>
      <w:bCs/>
      <w:sz w:val="32"/>
      <w:szCs w:val="32"/>
    </w:rPr>
  </w:style>
  <w:style w:type="paragraph" w:styleId="Heading2">
    <w:name w:val="heading 2"/>
    <w:basedOn w:val="Normal"/>
    <w:next w:val="Normal"/>
    <w:rsid w:val="003677BE"/>
    <w:pPr>
      <w:keepNext/>
      <w:numPr>
        <w:ilvl w:val="1"/>
        <w:numId w:val="3"/>
      </w:numPr>
      <w:spacing w:before="240" w:after="240"/>
      <w:outlineLvl w:val="1"/>
    </w:pPr>
    <w:rPr>
      <w:rFonts w:cs="Arial"/>
      <w:b/>
      <w:sz w:val="32"/>
      <w:szCs w:val="32"/>
    </w:rPr>
  </w:style>
  <w:style w:type="paragraph" w:styleId="Heading3">
    <w:name w:val="heading 3"/>
    <w:basedOn w:val="Normal"/>
    <w:next w:val="Normal"/>
    <w:link w:val="Heading3Char"/>
    <w:rsid w:val="003677BE"/>
    <w:pPr>
      <w:keepNext/>
      <w:numPr>
        <w:ilvl w:val="2"/>
        <w:numId w:val="3"/>
      </w:numPr>
      <w:outlineLvl w:val="2"/>
    </w:pPr>
    <w:rPr>
      <w:rFonts w:cs="Arial"/>
      <w:b/>
      <w:bCs/>
      <w:sz w:val="20"/>
      <w:szCs w:val="20"/>
    </w:rPr>
  </w:style>
  <w:style w:type="paragraph" w:styleId="Heading4">
    <w:name w:val="heading 4"/>
    <w:basedOn w:val="Normal"/>
    <w:next w:val="Normal"/>
    <w:rsid w:val="003677BE"/>
    <w:pPr>
      <w:keepNext/>
      <w:spacing w:before="240" w:after="60"/>
      <w:outlineLvl w:val="3"/>
    </w:pPr>
    <w:rPr>
      <w:b/>
      <w:bCs/>
      <w:sz w:val="20"/>
    </w:rPr>
  </w:style>
  <w:style w:type="paragraph" w:styleId="Heading5">
    <w:name w:val="heading 5"/>
    <w:basedOn w:val="Normal"/>
    <w:next w:val="Normal"/>
    <w:rsid w:val="00DF14D6"/>
    <w:pPr>
      <w:numPr>
        <w:ilvl w:val="4"/>
        <w:numId w:val="3"/>
      </w:numPr>
      <w:spacing w:before="240" w:after="60"/>
      <w:outlineLvl w:val="4"/>
    </w:pPr>
    <w:rPr>
      <w:b/>
      <w:bCs/>
      <w:i/>
      <w:iCs/>
      <w:sz w:val="26"/>
      <w:szCs w:val="26"/>
    </w:rPr>
  </w:style>
  <w:style w:type="paragraph" w:styleId="Heading6">
    <w:name w:val="heading 6"/>
    <w:basedOn w:val="Normal"/>
    <w:next w:val="Normal"/>
    <w:rsid w:val="00DF14D6"/>
    <w:pPr>
      <w:keepNext/>
      <w:numPr>
        <w:ilvl w:val="5"/>
        <w:numId w:val="3"/>
      </w:numPr>
      <w:spacing w:line="360" w:lineRule="auto"/>
      <w:outlineLvl w:val="5"/>
    </w:pPr>
    <w:rPr>
      <w:rFonts w:ascii="Interstate-Regular" w:hAnsi="Interstate-Regular"/>
      <w:b/>
      <w:bCs/>
      <w:lang w:val="en-US"/>
    </w:rPr>
  </w:style>
  <w:style w:type="paragraph" w:styleId="Heading7">
    <w:name w:val="heading 7"/>
    <w:basedOn w:val="Normal"/>
    <w:next w:val="Normal"/>
    <w:rsid w:val="00DF14D6"/>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rsid w:val="00DF14D6"/>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rsid w:val="00DF14D6"/>
    <w:pPr>
      <w:numPr>
        <w:ilvl w:val="8"/>
        <w:numId w:val="3"/>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677BE"/>
    <w:rPr>
      <w:rFonts w:ascii="Arial" w:hAnsi="Arial" w:cs="Arial"/>
      <w:b/>
      <w:bCs/>
      <w:color w:val="333333"/>
      <w:sz w:val="20"/>
      <w:szCs w:val="20"/>
      <w:lang w:val="en-GB"/>
    </w:rPr>
  </w:style>
  <w:style w:type="paragraph" w:styleId="Footer">
    <w:name w:val="footer"/>
    <w:basedOn w:val="Paragraphtext"/>
    <w:rsid w:val="00F267E2"/>
    <w:pPr>
      <w:tabs>
        <w:tab w:val="center" w:pos="4153"/>
        <w:tab w:val="right" w:pos="8306"/>
      </w:tabs>
      <w:jc w:val="center"/>
    </w:pPr>
    <w:rPr>
      <w:color w:val="038E9A"/>
      <w:szCs w:val="16"/>
    </w:rPr>
  </w:style>
  <w:style w:type="character" w:styleId="Hyperlink">
    <w:name w:val="Hyperlink"/>
    <w:basedOn w:val="FollowedHyperlink"/>
    <w:rsid w:val="003677BE"/>
    <w:rPr>
      <w:rFonts w:ascii="Arial" w:hAnsi="Arial"/>
      <w:color w:val="333333"/>
      <w:sz w:val="18"/>
      <w:szCs w:val="18"/>
      <w:u w:val="single"/>
      <w:lang w:val="en-GB"/>
    </w:rPr>
  </w:style>
  <w:style w:type="character" w:styleId="FollowedHyperlink">
    <w:name w:val="FollowedHyperlink"/>
    <w:basedOn w:val="DefaultParagraphFont"/>
    <w:rsid w:val="003677BE"/>
    <w:rPr>
      <w:rFonts w:ascii="Arial" w:hAnsi="Arial"/>
      <w:color w:val="333333"/>
      <w:sz w:val="18"/>
      <w:szCs w:val="18"/>
      <w:u w:val="single"/>
      <w:lang w:val="en-GB"/>
    </w:rPr>
  </w:style>
  <w:style w:type="paragraph" w:styleId="ListNumber2">
    <w:name w:val="List Number 2"/>
    <w:basedOn w:val="Normal"/>
    <w:semiHidden/>
    <w:rsid w:val="00775574"/>
    <w:pPr>
      <w:numPr>
        <w:numId w:val="2"/>
      </w:numPr>
    </w:pPr>
  </w:style>
  <w:style w:type="paragraph" w:styleId="TOC3">
    <w:name w:val="toc 3"/>
    <w:basedOn w:val="Normal"/>
    <w:next w:val="Normal"/>
    <w:autoRedefine/>
    <w:uiPriority w:val="39"/>
    <w:semiHidden/>
    <w:rsid w:val="00A2399D"/>
    <w:pPr>
      <w:tabs>
        <w:tab w:val="left" w:pos="1200"/>
        <w:tab w:val="right" w:leader="dot" w:pos="7740"/>
      </w:tabs>
      <w:ind w:left="360"/>
    </w:pPr>
  </w:style>
  <w:style w:type="table" w:styleId="TableGrid">
    <w:name w:val="Table Grid"/>
    <w:basedOn w:val="TableNormal"/>
    <w:rsid w:val="00EB5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7E14"/>
    <w:rPr>
      <w:rFonts w:ascii="Tahoma" w:hAnsi="Tahoma" w:cs="Tahoma"/>
      <w:sz w:val="16"/>
      <w:szCs w:val="16"/>
    </w:rPr>
  </w:style>
  <w:style w:type="character" w:styleId="PageNumber">
    <w:name w:val="page number"/>
    <w:basedOn w:val="DefaultParagraphFont"/>
    <w:rsid w:val="00DF14D6"/>
    <w:rPr>
      <w:rFonts w:ascii="Arial" w:hAnsi="Arial"/>
      <w:color w:val="808080"/>
      <w:sz w:val="16"/>
      <w:szCs w:val="16"/>
    </w:rPr>
  </w:style>
  <w:style w:type="paragraph" w:styleId="TOC1">
    <w:name w:val="toc 1"/>
    <w:basedOn w:val="Normal"/>
    <w:next w:val="Normal"/>
    <w:autoRedefine/>
    <w:uiPriority w:val="39"/>
    <w:semiHidden/>
    <w:rsid w:val="005857A6"/>
    <w:pPr>
      <w:tabs>
        <w:tab w:val="left" w:pos="360"/>
        <w:tab w:val="right" w:leader="dot" w:pos="8460"/>
      </w:tabs>
      <w:spacing w:line="480" w:lineRule="auto"/>
    </w:pPr>
    <w:rPr>
      <w:b/>
      <w:sz w:val="20"/>
      <w:szCs w:val="20"/>
    </w:rPr>
  </w:style>
  <w:style w:type="paragraph" w:styleId="TOC2">
    <w:name w:val="toc 2"/>
    <w:basedOn w:val="Normal"/>
    <w:next w:val="Normal"/>
    <w:autoRedefine/>
    <w:uiPriority w:val="39"/>
    <w:semiHidden/>
    <w:rsid w:val="00623265"/>
    <w:pPr>
      <w:tabs>
        <w:tab w:val="left" w:pos="960"/>
        <w:tab w:val="right" w:leader="dot" w:pos="8460"/>
      </w:tabs>
      <w:ind w:left="360"/>
    </w:pPr>
  </w:style>
  <w:style w:type="numbering" w:styleId="111111">
    <w:name w:val="Outline List 2"/>
    <w:basedOn w:val="NoList"/>
    <w:semiHidden/>
    <w:rsid w:val="001917EA"/>
    <w:pPr>
      <w:numPr>
        <w:numId w:val="1"/>
      </w:numPr>
    </w:pPr>
  </w:style>
  <w:style w:type="character" w:styleId="CommentReference">
    <w:name w:val="annotation reference"/>
    <w:basedOn w:val="DefaultParagraphFont"/>
    <w:uiPriority w:val="99"/>
    <w:semiHidden/>
    <w:rsid w:val="00340E4A"/>
    <w:rPr>
      <w:sz w:val="16"/>
      <w:szCs w:val="16"/>
    </w:rPr>
  </w:style>
  <w:style w:type="paragraph" w:styleId="CommentText">
    <w:name w:val="annotation text"/>
    <w:basedOn w:val="Normal"/>
    <w:link w:val="CommentTextChar"/>
    <w:uiPriority w:val="99"/>
    <w:semiHidden/>
    <w:rsid w:val="00340E4A"/>
    <w:rPr>
      <w:sz w:val="20"/>
      <w:szCs w:val="20"/>
    </w:rPr>
  </w:style>
  <w:style w:type="paragraph" w:styleId="CommentSubject">
    <w:name w:val="annotation subject"/>
    <w:basedOn w:val="CommentText"/>
    <w:next w:val="CommentText"/>
    <w:semiHidden/>
    <w:rsid w:val="00340E4A"/>
    <w:rPr>
      <w:b/>
      <w:bCs/>
    </w:rPr>
  </w:style>
  <w:style w:type="paragraph" w:customStyle="1" w:styleId="ECF-Heading2">
    <w:name w:val="ECF-Heading 2"/>
    <w:basedOn w:val="ECF-Heading1"/>
    <w:next w:val="Heading2"/>
    <w:qFormat/>
    <w:rsid w:val="0093210A"/>
    <w:rPr>
      <w:color w:val="EFCE0C" w:themeColor="background2"/>
    </w:rPr>
  </w:style>
  <w:style w:type="paragraph" w:customStyle="1" w:styleId="Paragraph1">
    <w:name w:val="Paragraph 1"/>
    <w:basedOn w:val="Normal"/>
    <w:next w:val="Paragraphtext"/>
    <w:rsid w:val="00D059E0"/>
    <w:rPr>
      <w:rFonts w:ascii="Futura" w:hAnsi="Futura"/>
      <w:sz w:val="24"/>
      <w:lang w:val="en-US"/>
    </w:rPr>
  </w:style>
  <w:style w:type="paragraph" w:styleId="ListParagraph">
    <w:name w:val="List Paragraph"/>
    <w:basedOn w:val="Normal"/>
    <w:uiPriority w:val="34"/>
    <w:qFormat/>
    <w:rsid w:val="00A06FB8"/>
    <w:pPr>
      <w:ind w:left="720"/>
      <w:contextualSpacing/>
    </w:pPr>
  </w:style>
  <w:style w:type="character" w:customStyle="1" w:styleId="mw-headline">
    <w:name w:val="mw-headline"/>
    <w:basedOn w:val="DefaultParagraphFont"/>
    <w:rsid w:val="00BC1C3F"/>
  </w:style>
  <w:style w:type="paragraph" w:customStyle="1" w:styleId="ECF-Heading1">
    <w:name w:val="ECF-Heading 1"/>
    <w:basedOn w:val="Normal"/>
    <w:next w:val="Paragraphtext"/>
    <w:link w:val="ECF-Heading1Char"/>
    <w:qFormat/>
    <w:rsid w:val="0093210A"/>
    <w:pPr>
      <w:tabs>
        <w:tab w:val="center" w:pos="4153"/>
        <w:tab w:val="right" w:pos="8306"/>
      </w:tabs>
      <w:spacing w:before="120" w:after="120"/>
    </w:pPr>
    <w:rPr>
      <w:rFonts w:ascii="FuturaBold Ro" w:hAnsi="FuturaBold Ro" w:cs="Arial"/>
      <w:bCs/>
      <w:color w:val="0092AA" w:themeColor="accent1"/>
      <w:spacing w:val="-22"/>
      <w:sz w:val="36"/>
      <w:szCs w:val="32"/>
    </w:rPr>
  </w:style>
  <w:style w:type="paragraph" w:customStyle="1" w:styleId="Paragraphtext">
    <w:name w:val="Paragraph text"/>
    <w:basedOn w:val="Normal"/>
    <w:link w:val="ParagraphtextChar"/>
    <w:qFormat/>
    <w:rsid w:val="00CE2FEC"/>
    <w:pPr>
      <w:spacing w:after="120"/>
      <w:contextualSpacing/>
      <w:jc w:val="both"/>
    </w:pPr>
    <w:rPr>
      <w:rFonts w:asciiTheme="minorHAnsi" w:hAnsiTheme="minorHAnsi"/>
      <w:color w:val="055068" w:themeColor="text1"/>
      <w:sz w:val="24"/>
      <w:lang w:val="en-US"/>
    </w:rPr>
  </w:style>
  <w:style w:type="paragraph" w:styleId="Header">
    <w:name w:val="header"/>
    <w:basedOn w:val="Normal"/>
    <w:link w:val="HeaderChar"/>
    <w:uiPriority w:val="99"/>
    <w:rsid w:val="00463145"/>
    <w:pPr>
      <w:tabs>
        <w:tab w:val="center" w:pos="4320"/>
        <w:tab w:val="right" w:pos="8640"/>
      </w:tabs>
    </w:pPr>
  </w:style>
  <w:style w:type="character" w:customStyle="1" w:styleId="HeaderChar">
    <w:name w:val="Header Char"/>
    <w:basedOn w:val="DefaultParagraphFont"/>
    <w:link w:val="Header"/>
    <w:uiPriority w:val="99"/>
    <w:rsid w:val="00463145"/>
    <w:rPr>
      <w:rFonts w:ascii="Arial" w:hAnsi="Arial"/>
      <w:color w:val="333333"/>
      <w:sz w:val="18"/>
      <w:szCs w:val="18"/>
      <w:lang w:val="en-GB"/>
    </w:rPr>
  </w:style>
  <w:style w:type="paragraph" w:customStyle="1" w:styleId="IntroMEPBriefing">
    <w:name w:val="Intro MEP Briefing"/>
    <w:basedOn w:val="Normal"/>
    <w:link w:val="IntroMEPBriefingChar"/>
    <w:rsid w:val="00B47FC3"/>
    <w:pPr>
      <w:widowControl w:val="0"/>
      <w:autoSpaceDE w:val="0"/>
      <w:autoSpaceDN w:val="0"/>
      <w:adjustRightInd w:val="0"/>
      <w:spacing w:before="10"/>
      <w:ind w:left="1083" w:right="60"/>
      <w:jc w:val="both"/>
    </w:pPr>
    <w:rPr>
      <w:rFonts w:ascii="Corbel" w:hAnsi="Corbel"/>
      <w:color w:val="000000"/>
      <w:spacing w:val="-1"/>
      <w:sz w:val="24"/>
      <w:szCs w:val="24"/>
    </w:rPr>
  </w:style>
  <w:style w:type="paragraph" w:styleId="EndnoteText">
    <w:name w:val="endnote text"/>
    <w:basedOn w:val="Normal"/>
    <w:link w:val="EndnoteTextChar"/>
    <w:uiPriority w:val="99"/>
    <w:unhideWhenUsed/>
    <w:rsid w:val="00B47FC3"/>
    <w:rPr>
      <w:rFonts w:ascii="Calibri" w:hAnsi="Calibri"/>
      <w:color w:val="auto"/>
      <w:sz w:val="20"/>
      <w:szCs w:val="20"/>
      <w:lang w:val="en-US"/>
    </w:rPr>
  </w:style>
  <w:style w:type="character" w:customStyle="1" w:styleId="EndnoteTextChar">
    <w:name w:val="Endnote Text Char"/>
    <w:basedOn w:val="DefaultParagraphFont"/>
    <w:link w:val="EndnoteText"/>
    <w:uiPriority w:val="99"/>
    <w:rsid w:val="00B47FC3"/>
    <w:rPr>
      <w:rFonts w:ascii="Calibri" w:hAnsi="Calibri"/>
      <w:sz w:val="20"/>
      <w:szCs w:val="20"/>
    </w:rPr>
  </w:style>
  <w:style w:type="character" w:customStyle="1" w:styleId="IntroMEPBriefingChar">
    <w:name w:val="Intro MEP Briefing Char"/>
    <w:link w:val="IntroMEPBriefing"/>
    <w:rsid w:val="00B47FC3"/>
    <w:rPr>
      <w:rFonts w:ascii="Corbel" w:hAnsi="Corbel"/>
      <w:color w:val="000000"/>
      <w:spacing w:val="-1"/>
    </w:rPr>
  </w:style>
  <w:style w:type="character" w:styleId="EndnoteReference">
    <w:name w:val="endnote reference"/>
    <w:uiPriority w:val="99"/>
    <w:unhideWhenUsed/>
    <w:rsid w:val="00B47FC3"/>
    <w:rPr>
      <w:vertAlign w:val="superscript"/>
    </w:rPr>
  </w:style>
  <w:style w:type="character" w:styleId="FootnoteReference">
    <w:name w:val="footnote reference"/>
    <w:uiPriority w:val="99"/>
    <w:rsid w:val="00B47FC3"/>
    <w:rPr>
      <w:rFonts w:cs="Times New Roman"/>
      <w:vertAlign w:val="superscript"/>
    </w:rPr>
  </w:style>
  <w:style w:type="paragraph" w:styleId="ListNumber">
    <w:name w:val="List Number"/>
    <w:basedOn w:val="Normal"/>
    <w:rsid w:val="009C743E"/>
    <w:pPr>
      <w:numPr>
        <w:numId w:val="4"/>
      </w:numPr>
      <w:contextualSpacing/>
    </w:pPr>
  </w:style>
  <w:style w:type="character" w:customStyle="1" w:styleId="apple-style-span">
    <w:name w:val="apple-style-span"/>
    <w:basedOn w:val="DefaultParagraphFont"/>
    <w:rsid w:val="009C743E"/>
  </w:style>
  <w:style w:type="paragraph" w:styleId="NoSpacing">
    <w:name w:val="No Spacing"/>
    <w:aliases w:val="Clear formatting"/>
    <w:link w:val="NoSpacingChar"/>
    <w:uiPriority w:val="1"/>
    <w:qFormat/>
    <w:rsid w:val="009C743E"/>
    <w:rPr>
      <w:rFonts w:ascii="Calibri" w:eastAsia="Calibri" w:hAnsi="Calibri"/>
      <w:sz w:val="22"/>
      <w:szCs w:val="22"/>
    </w:rPr>
  </w:style>
  <w:style w:type="character" w:customStyle="1" w:styleId="NoSpacingChar">
    <w:name w:val="No Spacing Char"/>
    <w:aliases w:val="Clear formatting Char"/>
    <w:link w:val="NoSpacing"/>
    <w:uiPriority w:val="1"/>
    <w:rsid w:val="009C743E"/>
    <w:rPr>
      <w:rFonts w:ascii="Calibri" w:eastAsia="Calibri" w:hAnsi="Calibri"/>
      <w:sz w:val="22"/>
      <w:szCs w:val="22"/>
    </w:rPr>
  </w:style>
  <w:style w:type="paragraph" w:styleId="ListBullet">
    <w:name w:val="List Bullet"/>
    <w:basedOn w:val="Normal"/>
    <w:rsid w:val="009C743E"/>
    <w:pPr>
      <w:numPr>
        <w:numId w:val="5"/>
      </w:numPr>
      <w:spacing w:before="120" w:after="120"/>
      <w:jc w:val="both"/>
    </w:pPr>
    <w:rPr>
      <w:rFonts w:ascii="Times New Roman" w:hAnsi="Times New Roman"/>
      <w:color w:val="auto"/>
      <w:sz w:val="24"/>
      <w:szCs w:val="24"/>
      <w:lang w:eastAsia="de-DE"/>
    </w:rPr>
  </w:style>
  <w:style w:type="paragraph" w:customStyle="1" w:styleId="Endnotes">
    <w:name w:val="Endnotes"/>
    <w:basedOn w:val="Normal"/>
    <w:link w:val="EndnotesChar"/>
    <w:qFormat/>
    <w:rsid w:val="00D616CF"/>
    <w:pPr>
      <w:widowControl w:val="0"/>
      <w:autoSpaceDE w:val="0"/>
      <w:autoSpaceDN w:val="0"/>
      <w:adjustRightInd w:val="0"/>
      <w:spacing w:line="226" w:lineRule="exact"/>
      <w:ind w:left="119" w:right="-26"/>
      <w:jc w:val="both"/>
    </w:pPr>
    <w:rPr>
      <w:rFonts w:ascii="Futura Lt BT" w:hAnsi="Futura Lt BT"/>
      <w:color w:val="808080" w:themeColor="background1" w:themeShade="80"/>
      <w:spacing w:val="2"/>
      <w:position w:val="1"/>
      <w:sz w:val="16"/>
      <w:szCs w:val="20"/>
    </w:rPr>
  </w:style>
  <w:style w:type="character" w:customStyle="1" w:styleId="EndnotesChar">
    <w:name w:val="Endnotes Char"/>
    <w:link w:val="Endnotes"/>
    <w:rsid w:val="00D616CF"/>
    <w:rPr>
      <w:rFonts w:ascii="Futura Lt BT" w:hAnsi="Futura Lt BT"/>
      <w:color w:val="808080" w:themeColor="background1" w:themeShade="80"/>
      <w:spacing w:val="2"/>
      <w:position w:val="1"/>
      <w:sz w:val="16"/>
      <w:szCs w:val="20"/>
    </w:rPr>
  </w:style>
  <w:style w:type="paragraph" w:customStyle="1" w:styleId="ECFItalics">
    <w:name w:val="ECF Italics"/>
    <w:basedOn w:val="ECF-Heading1"/>
    <w:link w:val="ECFItalicsChar"/>
    <w:rsid w:val="009C743E"/>
  </w:style>
  <w:style w:type="paragraph" w:customStyle="1" w:styleId="ECFboldtext">
    <w:name w:val="ECF_bold text"/>
    <w:basedOn w:val="Normal"/>
    <w:link w:val="ECFboldtextChar"/>
    <w:qFormat/>
    <w:rsid w:val="00CE2F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heme="majorHAnsi" w:hAnsiTheme="majorHAnsi" w:cs="Futura"/>
      <w:color w:val="0092AA" w:themeColor="accent1"/>
      <w:sz w:val="24"/>
      <w:szCs w:val="24"/>
      <w:lang w:val="en-US"/>
    </w:rPr>
  </w:style>
  <w:style w:type="character" w:customStyle="1" w:styleId="ECF-Heading1Char">
    <w:name w:val="ECF-Heading 1 Char"/>
    <w:basedOn w:val="DefaultParagraphFont"/>
    <w:link w:val="ECF-Heading1"/>
    <w:rsid w:val="0093210A"/>
    <w:rPr>
      <w:rFonts w:ascii="FuturaBold Ro" w:hAnsi="FuturaBold Ro" w:cs="Arial"/>
      <w:bCs/>
      <w:color w:val="0092AA" w:themeColor="accent1"/>
      <w:spacing w:val="-22"/>
      <w:sz w:val="36"/>
      <w:szCs w:val="32"/>
      <w:lang w:val="en-GB"/>
    </w:rPr>
  </w:style>
  <w:style w:type="character" w:customStyle="1" w:styleId="ECFItalicsChar">
    <w:name w:val="ECF Italics Char"/>
    <w:basedOn w:val="ECF-Heading1Char"/>
    <w:link w:val="ECFItalics"/>
    <w:rsid w:val="009C743E"/>
    <w:rPr>
      <w:rFonts w:ascii="Futura Lt BT" w:hAnsi="Futura Lt BT" w:cs="Arial"/>
      <w:bCs/>
      <w:color w:val="038E9A"/>
      <w:spacing w:val="-22"/>
      <w:sz w:val="36"/>
      <w:szCs w:val="32"/>
      <w:lang w:val="en-GB"/>
    </w:rPr>
  </w:style>
  <w:style w:type="character" w:customStyle="1" w:styleId="ECFboldtextChar">
    <w:name w:val="ECF_bold text Char"/>
    <w:basedOn w:val="DefaultParagraphFont"/>
    <w:link w:val="ECFboldtext"/>
    <w:rsid w:val="00CE2FEC"/>
    <w:rPr>
      <w:rFonts w:asciiTheme="majorHAnsi" w:hAnsiTheme="majorHAnsi" w:cs="Futura"/>
      <w:color w:val="0092AA" w:themeColor="accent1"/>
    </w:rPr>
  </w:style>
  <w:style w:type="paragraph" w:customStyle="1" w:styleId="TextboxStyle">
    <w:name w:val="Text box Style"/>
    <w:basedOn w:val="Normal"/>
    <w:link w:val="TextboxStyleChar"/>
    <w:qFormat/>
    <w:rsid w:val="00CE2FEC"/>
    <w:pPr>
      <w:shd w:val="clear" w:color="auto" w:fill="B1CB31" w:themeFill="accent2"/>
      <w:jc w:val="both"/>
    </w:pPr>
    <w:rPr>
      <w:rFonts w:ascii="Futura Lt BT" w:hAnsi="Futura Lt BT" w:cs="Arial"/>
      <w:color w:val="FFFFFF" w:themeColor="background1"/>
      <w:sz w:val="24"/>
      <w:szCs w:val="24"/>
    </w:rPr>
  </w:style>
  <w:style w:type="paragraph" w:customStyle="1" w:styleId="H2">
    <w:name w:val="H2"/>
    <w:basedOn w:val="Normal"/>
    <w:next w:val="Heading2"/>
    <w:rsid w:val="00207354"/>
    <w:pPr>
      <w:tabs>
        <w:tab w:val="center" w:pos="4153"/>
        <w:tab w:val="right" w:pos="8306"/>
      </w:tabs>
    </w:pPr>
    <w:rPr>
      <w:rFonts w:ascii="Futura Lt BT" w:hAnsi="Futura Lt BT"/>
      <w:color w:val="038E9A"/>
      <w:sz w:val="32"/>
      <w:szCs w:val="32"/>
    </w:rPr>
  </w:style>
  <w:style w:type="character" w:customStyle="1" w:styleId="TextboxStyleChar">
    <w:name w:val="Text box Style Char"/>
    <w:basedOn w:val="DefaultParagraphFont"/>
    <w:link w:val="TextboxStyle"/>
    <w:rsid w:val="00CE2FEC"/>
    <w:rPr>
      <w:rFonts w:ascii="Futura Lt BT" w:hAnsi="Futura Lt BT" w:cs="Arial"/>
      <w:color w:val="FFFFFF" w:themeColor="background1"/>
      <w:shd w:val="clear" w:color="auto" w:fill="B1CB31" w:themeFill="accent2"/>
      <w:lang w:val="en-GB"/>
    </w:rPr>
  </w:style>
  <w:style w:type="character" w:styleId="PlaceholderText">
    <w:name w:val="Placeholder Text"/>
    <w:basedOn w:val="DefaultParagraphFont"/>
    <w:rsid w:val="004A2010"/>
    <w:rPr>
      <w:color w:val="808080"/>
    </w:rPr>
  </w:style>
  <w:style w:type="paragraph" w:customStyle="1" w:styleId="Bulletlist">
    <w:name w:val="Bullet list"/>
    <w:basedOn w:val="Paragraphtext"/>
    <w:link w:val="BulletlistChar"/>
    <w:qFormat/>
    <w:rsid w:val="00CE2FEC"/>
    <w:pPr>
      <w:numPr>
        <w:numId w:val="7"/>
      </w:numPr>
    </w:pPr>
  </w:style>
  <w:style w:type="paragraph" w:customStyle="1" w:styleId="Picturecaption">
    <w:name w:val="Picture caption"/>
    <w:basedOn w:val="Normal"/>
    <w:link w:val="PicturecaptionChar"/>
    <w:qFormat/>
    <w:rsid w:val="0009793C"/>
    <w:pPr>
      <w:ind w:left="360"/>
      <w:jc w:val="both"/>
    </w:pPr>
    <w:rPr>
      <w:rFonts w:asciiTheme="minorHAnsi" w:hAnsiTheme="minorHAnsi" w:cs="Arial"/>
      <w:color w:val="055068" w:themeColor="text1"/>
      <w:sz w:val="20"/>
      <w:szCs w:val="20"/>
    </w:rPr>
  </w:style>
  <w:style w:type="character" w:customStyle="1" w:styleId="ParagraphtextChar">
    <w:name w:val="Paragraph text Char"/>
    <w:basedOn w:val="DefaultParagraphFont"/>
    <w:link w:val="Paragraphtext"/>
    <w:rsid w:val="00CE2FEC"/>
    <w:rPr>
      <w:rFonts w:asciiTheme="minorHAnsi" w:hAnsiTheme="minorHAnsi"/>
      <w:color w:val="055068" w:themeColor="text1"/>
      <w:szCs w:val="18"/>
    </w:rPr>
  </w:style>
  <w:style w:type="character" w:customStyle="1" w:styleId="BulletlistChar">
    <w:name w:val="Bullet list Char"/>
    <w:basedOn w:val="ParagraphtextChar"/>
    <w:link w:val="Bulletlist"/>
    <w:rsid w:val="00CE2FEC"/>
    <w:rPr>
      <w:rFonts w:asciiTheme="minorHAnsi" w:hAnsiTheme="minorHAnsi"/>
      <w:color w:val="055068" w:themeColor="text1"/>
      <w:szCs w:val="18"/>
    </w:rPr>
  </w:style>
  <w:style w:type="character" w:customStyle="1" w:styleId="PicturecaptionChar">
    <w:name w:val="Picture caption Char"/>
    <w:basedOn w:val="DefaultParagraphFont"/>
    <w:link w:val="Picturecaption"/>
    <w:rsid w:val="0009793C"/>
    <w:rPr>
      <w:rFonts w:asciiTheme="minorHAnsi" w:hAnsiTheme="minorHAnsi" w:cs="Arial"/>
      <w:color w:val="055068" w:themeColor="text1"/>
      <w:sz w:val="20"/>
      <w:szCs w:val="20"/>
      <w:lang w:val="en-GB"/>
    </w:rPr>
  </w:style>
  <w:style w:type="paragraph" w:customStyle="1" w:styleId="ECF-heading3">
    <w:name w:val="ECF-heading 3"/>
    <w:basedOn w:val="ECF-Heading2"/>
    <w:link w:val="ECF-heading3Char"/>
    <w:qFormat/>
    <w:rsid w:val="00CE2FEC"/>
    <w:rPr>
      <w:color w:val="B1CB31" w:themeColor="accent2"/>
      <w:sz w:val="28"/>
      <w:szCs w:val="28"/>
    </w:rPr>
  </w:style>
  <w:style w:type="character" w:customStyle="1" w:styleId="ECF-heading3Char">
    <w:name w:val="ECF-heading 3 Char"/>
    <w:basedOn w:val="ECFboldtextChar"/>
    <w:link w:val="ECF-heading3"/>
    <w:rsid w:val="00CE2FEC"/>
    <w:rPr>
      <w:rFonts w:ascii="FuturaBold Ro" w:hAnsi="FuturaBold Ro" w:cs="Arial"/>
      <w:bCs/>
      <w:color w:val="B1CB31" w:themeColor="accent2"/>
      <w:spacing w:val="-22"/>
      <w:sz w:val="28"/>
      <w:szCs w:val="28"/>
      <w:lang w:val="en-GB"/>
    </w:rPr>
  </w:style>
  <w:style w:type="character" w:styleId="Emphasis">
    <w:name w:val="Emphasis"/>
    <w:basedOn w:val="DefaultParagraphFont"/>
    <w:uiPriority w:val="20"/>
    <w:qFormat/>
    <w:rsid w:val="000C0929"/>
    <w:rPr>
      <w:iCs/>
      <w:color w:val="EFCE0C" w:themeColor="background2"/>
    </w:rPr>
  </w:style>
  <w:style w:type="paragraph" w:customStyle="1" w:styleId="LEVEL1">
    <w:name w:val="LEVEL1"/>
    <w:basedOn w:val="ECF-Heading1"/>
    <w:link w:val="LEVEL1Char"/>
    <w:qFormat/>
    <w:rsid w:val="00127B2D"/>
    <w:pPr>
      <w:numPr>
        <w:numId w:val="6"/>
      </w:numPr>
    </w:pPr>
  </w:style>
  <w:style w:type="paragraph" w:customStyle="1" w:styleId="LEVEL2">
    <w:name w:val="LEVEL2"/>
    <w:basedOn w:val="LEVEL1"/>
    <w:link w:val="LEVEL2Char"/>
    <w:qFormat/>
    <w:rsid w:val="00320936"/>
    <w:pPr>
      <w:numPr>
        <w:ilvl w:val="1"/>
      </w:numPr>
      <w:tabs>
        <w:tab w:val="clear" w:pos="4153"/>
        <w:tab w:val="center" w:pos="1080"/>
      </w:tabs>
    </w:pPr>
    <w:rPr>
      <w:color w:val="EFCE0C" w:themeColor="background2"/>
      <w:sz w:val="32"/>
    </w:rPr>
  </w:style>
  <w:style w:type="character" w:customStyle="1" w:styleId="LEVEL1Char">
    <w:name w:val="LEVEL1 Char"/>
    <w:basedOn w:val="ECF-Heading1Char"/>
    <w:link w:val="LEVEL1"/>
    <w:rsid w:val="00127B2D"/>
    <w:rPr>
      <w:rFonts w:ascii="FuturaBold Ro" w:hAnsi="FuturaBold Ro" w:cs="Arial"/>
      <w:bCs/>
      <w:color w:val="0092AA" w:themeColor="accent1"/>
      <w:spacing w:val="-22"/>
      <w:sz w:val="36"/>
      <w:szCs w:val="32"/>
      <w:lang w:val="en-GB"/>
    </w:rPr>
  </w:style>
  <w:style w:type="paragraph" w:customStyle="1" w:styleId="LEVEL3">
    <w:name w:val="LEVEL3"/>
    <w:basedOn w:val="LEVEL2"/>
    <w:link w:val="LEVEL3Char"/>
    <w:qFormat/>
    <w:rsid w:val="00320936"/>
    <w:pPr>
      <w:numPr>
        <w:ilvl w:val="2"/>
      </w:numPr>
      <w:tabs>
        <w:tab w:val="clear" w:pos="1080"/>
        <w:tab w:val="center" w:pos="1620"/>
      </w:tabs>
    </w:pPr>
    <w:rPr>
      <w:color w:val="B1CB31" w:themeColor="accent2"/>
      <w:sz w:val="28"/>
      <w:szCs w:val="28"/>
    </w:rPr>
  </w:style>
  <w:style w:type="character" w:customStyle="1" w:styleId="LEVEL2Char">
    <w:name w:val="LEVEL2 Char"/>
    <w:basedOn w:val="LEVEL1Char"/>
    <w:link w:val="LEVEL2"/>
    <w:rsid w:val="00320936"/>
    <w:rPr>
      <w:rFonts w:ascii="FuturaBold Ro" w:hAnsi="FuturaBold Ro" w:cs="Arial"/>
      <w:bCs/>
      <w:color w:val="EFCE0C" w:themeColor="background2"/>
      <w:spacing w:val="-22"/>
      <w:sz w:val="32"/>
      <w:szCs w:val="32"/>
      <w:lang w:val="en-GB"/>
    </w:rPr>
  </w:style>
  <w:style w:type="paragraph" w:customStyle="1" w:styleId="LEVEL4">
    <w:name w:val="LEVEL4"/>
    <w:basedOn w:val="LEVEL3"/>
    <w:link w:val="LEVEL4Char"/>
    <w:qFormat/>
    <w:rsid w:val="00320936"/>
    <w:pPr>
      <w:numPr>
        <w:ilvl w:val="3"/>
      </w:numPr>
      <w:tabs>
        <w:tab w:val="clear" w:pos="1620"/>
        <w:tab w:val="center" w:pos="2160"/>
      </w:tabs>
    </w:pPr>
    <w:rPr>
      <w:color w:val="B31F3B" w:themeColor="accent5"/>
      <w:sz w:val="24"/>
      <w:szCs w:val="24"/>
    </w:rPr>
  </w:style>
  <w:style w:type="character" w:customStyle="1" w:styleId="LEVEL3Char">
    <w:name w:val="LEVEL3 Char"/>
    <w:basedOn w:val="LEVEL2Char"/>
    <w:link w:val="LEVEL3"/>
    <w:rsid w:val="00320936"/>
    <w:rPr>
      <w:rFonts w:ascii="FuturaBold Ro" w:hAnsi="FuturaBold Ro" w:cs="Arial"/>
      <w:bCs/>
      <w:color w:val="B1CB31" w:themeColor="accent2"/>
      <w:spacing w:val="-22"/>
      <w:sz w:val="28"/>
      <w:szCs w:val="28"/>
      <w:lang w:val="en-GB"/>
    </w:rPr>
  </w:style>
  <w:style w:type="character" w:customStyle="1" w:styleId="LEVEL4Char">
    <w:name w:val="LEVEL4 Char"/>
    <w:basedOn w:val="LEVEL3Char"/>
    <w:link w:val="LEVEL4"/>
    <w:rsid w:val="00320936"/>
    <w:rPr>
      <w:rFonts w:ascii="FuturaBold Ro" w:hAnsi="FuturaBold Ro" w:cs="Arial"/>
      <w:bCs/>
      <w:color w:val="B31F3B" w:themeColor="accent5"/>
      <w:spacing w:val="-22"/>
      <w:sz w:val="28"/>
      <w:szCs w:val="28"/>
      <w:lang w:val="en-GB"/>
    </w:rPr>
  </w:style>
  <w:style w:type="paragraph" w:styleId="FootnoteText">
    <w:name w:val="footnote text"/>
    <w:basedOn w:val="Normal"/>
    <w:link w:val="FootnoteTextChar"/>
    <w:uiPriority w:val="99"/>
    <w:rsid w:val="00B76FF8"/>
    <w:rPr>
      <w:sz w:val="20"/>
      <w:szCs w:val="20"/>
    </w:rPr>
  </w:style>
  <w:style w:type="character" w:customStyle="1" w:styleId="FootnoteTextChar">
    <w:name w:val="Footnote Text Char"/>
    <w:basedOn w:val="DefaultParagraphFont"/>
    <w:link w:val="FootnoteText"/>
    <w:uiPriority w:val="99"/>
    <w:rsid w:val="00B76FF8"/>
    <w:rPr>
      <w:rFonts w:ascii="Arial" w:hAnsi="Arial"/>
      <w:color w:val="333333"/>
      <w:sz w:val="20"/>
      <w:szCs w:val="20"/>
      <w:lang w:val="en-GB"/>
    </w:rPr>
  </w:style>
  <w:style w:type="paragraph" w:customStyle="1" w:styleId="ECF-List">
    <w:name w:val="ECF-List"/>
    <w:basedOn w:val="Normal"/>
    <w:qFormat/>
    <w:rsid w:val="00206C8A"/>
    <w:pPr>
      <w:spacing w:after="120"/>
      <w:ind w:left="720" w:hanging="360"/>
      <w:contextualSpacing/>
      <w:jc w:val="both"/>
    </w:pPr>
    <w:rPr>
      <w:rFonts w:ascii="Futura Lt BT" w:hAnsi="Futura Lt BT"/>
      <w:sz w:val="24"/>
      <w:lang w:val="en-US"/>
    </w:rPr>
  </w:style>
  <w:style w:type="table" w:customStyle="1" w:styleId="GridTable4-Accent31">
    <w:name w:val="Grid Table 4 - Accent 31"/>
    <w:basedOn w:val="TableNormal"/>
    <w:uiPriority w:val="49"/>
    <w:rsid w:val="00CE2FEC"/>
    <w:tblPr>
      <w:tblStyleRowBandSize w:val="1"/>
      <w:tblStyleColBandSize w:val="1"/>
      <w:tblBorders>
        <w:top w:val="single" w:sz="4" w:space="0" w:color="F7E26A" w:themeColor="accent3" w:themeTint="99"/>
        <w:left w:val="single" w:sz="4" w:space="0" w:color="F7E26A" w:themeColor="accent3" w:themeTint="99"/>
        <w:bottom w:val="single" w:sz="4" w:space="0" w:color="F7E26A" w:themeColor="accent3" w:themeTint="99"/>
        <w:right w:val="single" w:sz="4" w:space="0" w:color="F7E26A" w:themeColor="accent3" w:themeTint="99"/>
        <w:insideH w:val="single" w:sz="4" w:space="0" w:color="F7E26A" w:themeColor="accent3" w:themeTint="99"/>
        <w:insideV w:val="single" w:sz="4" w:space="0" w:color="F7E26A" w:themeColor="accent3" w:themeTint="99"/>
      </w:tblBorders>
    </w:tblPr>
    <w:tblStylePr w:type="firstRow">
      <w:rPr>
        <w:b/>
        <w:bCs/>
        <w:color w:val="FFFFFF" w:themeColor="background1"/>
      </w:rPr>
      <w:tblPr/>
      <w:tcPr>
        <w:tcBorders>
          <w:top w:val="single" w:sz="4" w:space="0" w:color="EFCE0C" w:themeColor="accent3"/>
          <w:left w:val="single" w:sz="4" w:space="0" w:color="EFCE0C" w:themeColor="accent3"/>
          <w:bottom w:val="single" w:sz="4" w:space="0" w:color="EFCE0C" w:themeColor="accent3"/>
          <w:right w:val="single" w:sz="4" w:space="0" w:color="EFCE0C" w:themeColor="accent3"/>
          <w:insideH w:val="nil"/>
          <w:insideV w:val="nil"/>
        </w:tcBorders>
        <w:shd w:val="clear" w:color="auto" w:fill="EFCE0C" w:themeFill="accent3"/>
      </w:tcPr>
    </w:tblStylePr>
    <w:tblStylePr w:type="lastRow">
      <w:rPr>
        <w:b/>
        <w:bCs/>
      </w:rPr>
      <w:tblPr/>
      <w:tcPr>
        <w:tcBorders>
          <w:top w:val="double" w:sz="4" w:space="0" w:color="EFCE0C" w:themeColor="accent3"/>
        </w:tcBorders>
      </w:tcPr>
    </w:tblStylePr>
    <w:tblStylePr w:type="firstCol">
      <w:rPr>
        <w:b/>
        <w:bCs/>
      </w:rPr>
    </w:tblStylePr>
    <w:tblStylePr w:type="lastCol">
      <w:rPr>
        <w:b/>
        <w:bCs/>
      </w:rPr>
    </w:tblStylePr>
    <w:tblStylePr w:type="band1Vert">
      <w:tblPr/>
      <w:tcPr>
        <w:shd w:val="clear" w:color="auto" w:fill="FCF5CD" w:themeFill="accent3" w:themeFillTint="33"/>
      </w:tcPr>
    </w:tblStylePr>
    <w:tblStylePr w:type="band1Horz">
      <w:tblPr/>
      <w:tcPr>
        <w:shd w:val="clear" w:color="auto" w:fill="FCF5CD" w:themeFill="accent3" w:themeFillTint="33"/>
      </w:tcPr>
    </w:tblStylePr>
  </w:style>
  <w:style w:type="paragraph" w:customStyle="1" w:styleId="Default">
    <w:name w:val="Default"/>
    <w:rsid w:val="00251ED7"/>
    <w:pPr>
      <w:autoSpaceDE w:val="0"/>
      <w:autoSpaceDN w:val="0"/>
      <w:adjustRightInd w:val="0"/>
    </w:pPr>
    <w:rPr>
      <w:rFonts w:ascii="Verdana" w:eastAsiaTheme="minorHAnsi" w:hAnsi="Verdana" w:cs="Verdana"/>
      <w:color w:val="000000"/>
      <w:lang w:val="en-GB"/>
    </w:rPr>
  </w:style>
  <w:style w:type="character" w:customStyle="1" w:styleId="CommentTextChar">
    <w:name w:val="Comment Text Char"/>
    <w:basedOn w:val="DefaultParagraphFont"/>
    <w:link w:val="CommentText"/>
    <w:uiPriority w:val="99"/>
    <w:semiHidden/>
    <w:rsid w:val="008E1036"/>
    <w:rPr>
      <w:rFonts w:ascii="Arial" w:hAnsi="Arial"/>
      <w:color w:val="333333"/>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7365">
      <w:bodyDiv w:val="1"/>
      <w:marLeft w:val="0"/>
      <w:marRight w:val="0"/>
      <w:marTop w:val="0"/>
      <w:marBottom w:val="0"/>
      <w:divBdr>
        <w:top w:val="none" w:sz="0" w:space="0" w:color="auto"/>
        <w:left w:val="none" w:sz="0" w:space="0" w:color="auto"/>
        <w:bottom w:val="none" w:sz="0" w:space="0" w:color="auto"/>
        <w:right w:val="none" w:sz="0" w:space="0" w:color="auto"/>
      </w:divBdr>
    </w:div>
    <w:div w:id="188298662">
      <w:bodyDiv w:val="1"/>
      <w:marLeft w:val="0"/>
      <w:marRight w:val="0"/>
      <w:marTop w:val="0"/>
      <w:marBottom w:val="0"/>
      <w:divBdr>
        <w:top w:val="none" w:sz="0" w:space="0" w:color="auto"/>
        <w:left w:val="none" w:sz="0" w:space="0" w:color="auto"/>
        <w:bottom w:val="none" w:sz="0" w:space="0" w:color="auto"/>
        <w:right w:val="none" w:sz="0" w:space="0" w:color="auto"/>
      </w:divBdr>
    </w:div>
    <w:div w:id="257101964">
      <w:bodyDiv w:val="1"/>
      <w:marLeft w:val="0"/>
      <w:marRight w:val="0"/>
      <w:marTop w:val="0"/>
      <w:marBottom w:val="0"/>
      <w:divBdr>
        <w:top w:val="none" w:sz="0" w:space="0" w:color="auto"/>
        <w:left w:val="none" w:sz="0" w:space="0" w:color="auto"/>
        <w:bottom w:val="none" w:sz="0" w:space="0" w:color="auto"/>
        <w:right w:val="none" w:sz="0" w:space="0" w:color="auto"/>
      </w:divBdr>
    </w:div>
    <w:div w:id="383918387">
      <w:bodyDiv w:val="1"/>
      <w:marLeft w:val="0"/>
      <w:marRight w:val="0"/>
      <w:marTop w:val="0"/>
      <w:marBottom w:val="0"/>
      <w:divBdr>
        <w:top w:val="none" w:sz="0" w:space="0" w:color="auto"/>
        <w:left w:val="none" w:sz="0" w:space="0" w:color="auto"/>
        <w:bottom w:val="none" w:sz="0" w:space="0" w:color="auto"/>
        <w:right w:val="none" w:sz="0" w:space="0" w:color="auto"/>
      </w:divBdr>
    </w:div>
    <w:div w:id="416177783">
      <w:bodyDiv w:val="1"/>
      <w:marLeft w:val="0"/>
      <w:marRight w:val="0"/>
      <w:marTop w:val="0"/>
      <w:marBottom w:val="0"/>
      <w:divBdr>
        <w:top w:val="none" w:sz="0" w:space="0" w:color="auto"/>
        <w:left w:val="none" w:sz="0" w:space="0" w:color="auto"/>
        <w:bottom w:val="none" w:sz="0" w:space="0" w:color="auto"/>
        <w:right w:val="none" w:sz="0" w:space="0" w:color="auto"/>
      </w:divBdr>
    </w:div>
    <w:div w:id="645666522">
      <w:bodyDiv w:val="1"/>
      <w:marLeft w:val="0"/>
      <w:marRight w:val="0"/>
      <w:marTop w:val="0"/>
      <w:marBottom w:val="0"/>
      <w:divBdr>
        <w:top w:val="none" w:sz="0" w:space="0" w:color="auto"/>
        <w:left w:val="none" w:sz="0" w:space="0" w:color="auto"/>
        <w:bottom w:val="none" w:sz="0" w:space="0" w:color="auto"/>
        <w:right w:val="none" w:sz="0" w:space="0" w:color="auto"/>
      </w:divBdr>
    </w:div>
    <w:div w:id="965625190">
      <w:bodyDiv w:val="1"/>
      <w:marLeft w:val="0"/>
      <w:marRight w:val="0"/>
      <w:marTop w:val="0"/>
      <w:marBottom w:val="0"/>
      <w:divBdr>
        <w:top w:val="none" w:sz="0" w:space="0" w:color="auto"/>
        <w:left w:val="none" w:sz="0" w:space="0" w:color="auto"/>
        <w:bottom w:val="none" w:sz="0" w:space="0" w:color="auto"/>
        <w:right w:val="none" w:sz="0" w:space="0" w:color="auto"/>
      </w:divBdr>
    </w:div>
    <w:div w:id="1051421369">
      <w:bodyDiv w:val="1"/>
      <w:marLeft w:val="0"/>
      <w:marRight w:val="0"/>
      <w:marTop w:val="0"/>
      <w:marBottom w:val="0"/>
      <w:divBdr>
        <w:top w:val="none" w:sz="0" w:space="0" w:color="auto"/>
        <w:left w:val="none" w:sz="0" w:space="0" w:color="auto"/>
        <w:bottom w:val="none" w:sz="0" w:space="0" w:color="auto"/>
        <w:right w:val="none" w:sz="0" w:space="0" w:color="auto"/>
      </w:divBdr>
    </w:div>
    <w:div w:id="1145663826">
      <w:bodyDiv w:val="1"/>
      <w:marLeft w:val="0"/>
      <w:marRight w:val="0"/>
      <w:marTop w:val="0"/>
      <w:marBottom w:val="0"/>
      <w:divBdr>
        <w:top w:val="none" w:sz="0" w:space="0" w:color="auto"/>
        <w:left w:val="none" w:sz="0" w:space="0" w:color="auto"/>
        <w:bottom w:val="none" w:sz="0" w:space="0" w:color="auto"/>
        <w:right w:val="none" w:sz="0" w:space="0" w:color="auto"/>
      </w:divBdr>
    </w:div>
    <w:div w:id="1389306369">
      <w:bodyDiv w:val="1"/>
      <w:marLeft w:val="0"/>
      <w:marRight w:val="0"/>
      <w:marTop w:val="0"/>
      <w:marBottom w:val="0"/>
      <w:divBdr>
        <w:top w:val="none" w:sz="0" w:space="0" w:color="auto"/>
        <w:left w:val="none" w:sz="0" w:space="0" w:color="auto"/>
        <w:bottom w:val="none" w:sz="0" w:space="0" w:color="auto"/>
        <w:right w:val="none" w:sz="0" w:space="0" w:color="auto"/>
      </w:divBdr>
    </w:div>
    <w:div w:id="1459836497">
      <w:bodyDiv w:val="1"/>
      <w:marLeft w:val="0"/>
      <w:marRight w:val="0"/>
      <w:marTop w:val="0"/>
      <w:marBottom w:val="0"/>
      <w:divBdr>
        <w:top w:val="none" w:sz="0" w:space="0" w:color="auto"/>
        <w:left w:val="none" w:sz="0" w:space="0" w:color="auto"/>
        <w:bottom w:val="none" w:sz="0" w:space="0" w:color="auto"/>
        <w:right w:val="none" w:sz="0" w:space="0" w:color="auto"/>
      </w:divBdr>
    </w:div>
    <w:div w:id="1497110320">
      <w:bodyDiv w:val="1"/>
      <w:marLeft w:val="0"/>
      <w:marRight w:val="0"/>
      <w:marTop w:val="0"/>
      <w:marBottom w:val="0"/>
      <w:divBdr>
        <w:top w:val="none" w:sz="0" w:space="0" w:color="auto"/>
        <w:left w:val="none" w:sz="0" w:space="0" w:color="auto"/>
        <w:bottom w:val="none" w:sz="0" w:space="0" w:color="auto"/>
        <w:right w:val="none" w:sz="0" w:space="0" w:color="auto"/>
      </w:divBdr>
    </w:div>
    <w:div w:id="1508787415">
      <w:bodyDiv w:val="1"/>
      <w:marLeft w:val="0"/>
      <w:marRight w:val="0"/>
      <w:marTop w:val="0"/>
      <w:marBottom w:val="0"/>
      <w:divBdr>
        <w:top w:val="none" w:sz="0" w:space="0" w:color="auto"/>
        <w:left w:val="none" w:sz="0" w:space="0" w:color="auto"/>
        <w:bottom w:val="none" w:sz="0" w:space="0" w:color="auto"/>
        <w:right w:val="none" w:sz="0" w:space="0" w:color="auto"/>
      </w:divBdr>
    </w:div>
    <w:div w:id="20791612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aktuellhallbarhet.se/wp-content/uploads/2018/03/energi-och-klimatplan.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publications.europa.eu/resource/cellar/ebdf266c-8eab-11e5-983e-01aa75ed71a1.0008.03/DOC_5"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tem.fi/documents/1410877/2769658/Government+report+on+the+National+Energy+and+Climate+Strategy+for+2030/0bb2a7be-d3c2-4149-a4c2-78449ceb1976/Government+report+on+the+National+Energy+and+Climate+Strategy+for+203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ur-lex.europa.eu/legal-content/EN/TXT/?uri=COM:2016:759:REV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ea.europa.eu/data-and-maps/indicators/transport-emissions-of-greenhouse-gases/transport-emissions-of-greenhouse-gases-11" TargetMode="External"/><Relationship Id="rId24" Type="http://schemas.openxmlformats.org/officeDocument/2006/relationships/hyperlink" Target="https://unfccc.int/process-and-meetings/the-paris-agreement/the-paris-agreement"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s://ec.europa.eu/clima/sites/clima/files/docs/pages/com_2018_733_en.pdf" TargetMode="External"/><Relationship Id="rId10" Type="http://schemas.openxmlformats.org/officeDocument/2006/relationships/image" Target="media/image1.jpeg"/><Relationship Id="rId19" Type="http://schemas.openxmlformats.org/officeDocument/2006/relationships/hyperlink" Target="https://mission2030.info/wp-content/uploads/2018/10/Klima-Energiestrategie_en.pdf" TargetMode="External"/><Relationship Id="rId4" Type="http://schemas.openxmlformats.org/officeDocument/2006/relationships/styles" Target="styles.xml"/><Relationship Id="rId9" Type="http://schemas.openxmlformats.org/officeDocument/2006/relationships/hyperlink" Target="mailto:policy@ecf.com" TargetMode="External"/><Relationship Id="rId14" Type="http://schemas.openxmlformats.org/officeDocument/2006/relationships/header" Target="header2.xml"/><Relationship Id="rId22" Type="http://schemas.openxmlformats.org/officeDocument/2006/relationships/hyperlink" Target="https://eur-lex.europa.eu/legal-content/EN/ALL/?uri=CELEX:52014DC00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ECF_ppt theme 2017">
  <a:themeElements>
    <a:clrScheme name="ECF colors_2017">
      <a:dk1>
        <a:srgbClr val="055068"/>
      </a:dk1>
      <a:lt1>
        <a:sysClr val="window" lastClr="FFFFFF"/>
      </a:lt1>
      <a:dk2>
        <a:srgbClr val="055068"/>
      </a:dk2>
      <a:lt2>
        <a:srgbClr val="EFCE0C"/>
      </a:lt2>
      <a:accent1>
        <a:srgbClr val="0092AA"/>
      </a:accent1>
      <a:accent2>
        <a:srgbClr val="B1CB31"/>
      </a:accent2>
      <a:accent3>
        <a:srgbClr val="EFCE0C"/>
      </a:accent3>
      <a:accent4>
        <a:srgbClr val="F28E28"/>
      </a:accent4>
      <a:accent5>
        <a:srgbClr val="B31F3B"/>
      </a:accent5>
      <a:accent6>
        <a:srgbClr val="09DCFF"/>
      </a:accent6>
      <a:hlink>
        <a:srgbClr val="0092AA"/>
      </a:hlink>
      <a:folHlink>
        <a:srgbClr val="0092AA"/>
      </a:folHlink>
    </a:clrScheme>
    <a:fontScheme name="ECF_fonts">
      <a:majorFont>
        <a:latin typeface="FuturaBold Ro"/>
        <a:ea typeface=""/>
        <a:cs typeface=""/>
      </a:majorFont>
      <a:minorFont>
        <a:latin typeface="FuturaTEE"/>
        <a:ea typeface=""/>
        <a:cs typeface=""/>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ECF_ppt theme 2017" id="{AC792615-E5F4-4106-9A57-814545257DEF}" vid="{5F679A95-C103-422D-B861-7DC6AA2DA5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2012-03-25T00:00:00</PublishDate>
  <Abstract>Optional Abstract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741AE4-3BC0-4664-99AB-7F1F90EB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1569</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Introducing Cycling into National Energy and Climate Plans</vt:lpstr>
    </vt:vector>
  </TitlesOfParts>
  <Company>Lightmaker Group Ltd</Company>
  <LinksUpToDate>false</LinksUpToDate>
  <CharactersWithSpaces>10493</CharactersWithSpaces>
  <SharedDoc>false</SharedDoc>
  <HLinks>
    <vt:vector size="60" baseType="variant">
      <vt:variant>
        <vt:i4>720908</vt:i4>
      </vt:variant>
      <vt:variant>
        <vt:i4>51</vt:i4>
      </vt:variant>
      <vt:variant>
        <vt:i4>0</vt:i4>
      </vt:variant>
      <vt:variant>
        <vt:i4>5</vt:i4>
      </vt:variant>
      <vt:variant>
        <vt:lpwstr>http://www.itwswitches.co.uk/</vt:lpwstr>
      </vt:variant>
      <vt:variant>
        <vt:lpwstr/>
      </vt:variant>
      <vt:variant>
        <vt:i4>3407935</vt:i4>
      </vt:variant>
      <vt:variant>
        <vt:i4>48</vt:i4>
      </vt:variant>
      <vt:variant>
        <vt:i4>0</vt:i4>
      </vt:variant>
      <vt:variant>
        <vt:i4>5</vt:i4>
      </vt:variant>
      <vt:variant>
        <vt:lpwstr>http://www.lightmaker.net/</vt:lpwstr>
      </vt:variant>
      <vt:variant>
        <vt:lpwstr/>
      </vt:variant>
      <vt:variant>
        <vt:i4>1114170</vt:i4>
      </vt:variant>
      <vt:variant>
        <vt:i4>41</vt:i4>
      </vt:variant>
      <vt:variant>
        <vt:i4>0</vt:i4>
      </vt:variant>
      <vt:variant>
        <vt:i4>5</vt:i4>
      </vt:variant>
      <vt:variant>
        <vt:lpwstr/>
      </vt:variant>
      <vt:variant>
        <vt:lpwstr>_Toc83011531</vt:lpwstr>
      </vt:variant>
      <vt:variant>
        <vt:i4>1048634</vt:i4>
      </vt:variant>
      <vt:variant>
        <vt:i4>35</vt:i4>
      </vt:variant>
      <vt:variant>
        <vt:i4>0</vt:i4>
      </vt:variant>
      <vt:variant>
        <vt:i4>5</vt:i4>
      </vt:variant>
      <vt:variant>
        <vt:lpwstr/>
      </vt:variant>
      <vt:variant>
        <vt:lpwstr>_Toc83011530</vt:lpwstr>
      </vt:variant>
      <vt:variant>
        <vt:i4>1638459</vt:i4>
      </vt:variant>
      <vt:variant>
        <vt:i4>29</vt:i4>
      </vt:variant>
      <vt:variant>
        <vt:i4>0</vt:i4>
      </vt:variant>
      <vt:variant>
        <vt:i4>5</vt:i4>
      </vt:variant>
      <vt:variant>
        <vt:lpwstr/>
      </vt:variant>
      <vt:variant>
        <vt:lpwstr>_Toc83011529</vt:lpwstr>
      </vt:variant>
      <vt:variant>
        <vt:i4>1572923</vt:i4>
      </vt:variant>
      <vt:variant>
        <vt:i4>23</vt:i4>
      </vt:variant>
      <vt:variant>
        <vt:i4>0</vt:i4>
      </vt:variant>
      <vt:variant>
        <vt:i4>5</vt:i4>
      </vt:variant>
      <vt:variant>
        <vt:lpwstr/>
      </vt:variant>
      <vt:variant>
        <vt:lpwstr>_Toc83011528</vt:lpwstr>
      </vt:variant>
      <vt:variant>
        <vt:i4>1507387</vt:i4>
      </vt:variant>
      <vt:variant>
        <vt:i4>17</vt:i4>
      </vt:variant>
      <vt:variant>
        <vt:i4>0</vt:i4>
      </vt:variant>
      <vt:variant>
        <vt:i4>5</vt:i4>
      </vt:variant>
      <vt:variant>
        <vt:lpwstr/>
      </vt:variant>
      <vt:variant>
        <vt:lpwstr>_Toc83011527</vt:lpwstr>
      </vt:variant>
      <vt:variant>
        <vt:i4>1441851</vt:i4>
      </vt:variant>
      <vt:variant>
        <vt:i4>11</vt:i4>
      </vt:variant>
      <vt:variant>
        <vt:i4>0</vt:i4>
      </vt:variant>
      <vt:variant>
        <vt:i4>5</vt:i4>
      </vt:variant>
      <vt:variant>
        <vt:lpwstr/>
      </vt:variant>
      <vt:variant>
        <vt:lpwstr>_Toc83011526</vt:lpwstr>
      </vt:variant>
      <vt:variant>
        <vt:i4>1376315</vt:i4>
      </vt:variant>
      <vt:variant>
        <vt:i4>5</vt:i4>
      </vt:variant>
      <vt:variant>
        <vt:i4>0</vt:i4>
      </vt:variant>
      <vt:variant>
        <vt:i4>5</vt:i4>
      </vt:variant>
      <vt:variant>
        <vt:lpwstr/>
      </vt:variant>
      <vt:variant>
        <vt:lpwstr>_Toc83011525</vt:lpwstr>
      </vt:variant>
      <vt:variant>
        <vt:i4>8257538</vt:i4>
      </vt:variant>
      <vt:variant>
        <vt:i4>0</vt:i4>
      </vt:variant>
      <vt:variant>
        <vt:i4>0</vt:i4>
      </vt:variant>
      <vt:variant>
        <vt:i4>5</vt:i4>
      </vt:variant>
      <vt:variant>
        <vt:lpwstr>mailto:your.name@lightmaker.com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Cycling into National Energy and Climate Plans</dc:title>
  <dc:subject>Subtitle: ECF position paper on...(the final text shouldn’t include subtitle)</dc:subject>
  <dc:creator>James Armstrong | ECF</dc:creator>
  <cp:keywords>European Cyclists' Federation</cp:keywords>
  <dc:description/>
  <cp:lastModifiedBy>Policy | ECF</cp:lastModifiedBy>
  <cp:revision>15</cp:revision>
  <cp:lastPrinted>2018-12-06T10:45:00Z</cp:lastPrinted>
  <dcterms:created xsi:type="dcterms:W3CDTF">2018-12-04T10:58:00Z</dcterms:created>
  <dcterms:modified xsi:type="dcterms:W3CDTF">2018-12-06T10:46:00Z</dcterms:modified>
</cp:coreProperties>
</file>